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5" w:firstLineChars="500"/>
        <w:jc w:val="both"/>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rPr>
        <w:t xml:space="preserve">Talent </w:t>
      </w:r>
      <w:r>
        <w:rPr>
          <w:rFonts w:hint="default" w:ascii="Times New Roman" w:hAnsi="Times New Roman" w:cs="Times New Roman"/>
          <w:b/>
          <w:bCs/>
          <w:sz w:val="28"/>
          <w:szCs w:val="36"/>
          <w:lang w:val="en-US" w:eastAsia="zh-CN"/>
        </w:rPr>
        <w:t>E</w:t>
      </w:r>
      <w:r>
        <w:rPr>
          <w:rFonts w:hint="default" w:ascii="Times New Roman" w:hAnsi="Times New Roman" w:cs="Times New Roman"/>
          <w:b/>
          <w:bCs/>
          <w:sz w:val="28"/>
          <w:szCs w:val="36"/>
        </w:rPr>
        <w:t xml:space="preserve">xchange </w:t>
      </w:r>
      <w:r>
        <w:rPr>
          <w:rFonts w:hint="default" w:ascii="Times New Roman" w:hAnsi="Times New Roman" w:cs="Times New Roman"/>
          <w:b/>
          <w:bCs/>
          <w:sz w:val="28"/>
          <w:szCs w:val="36"/>
          <w:lang w:val="en-US" w:eastAsia="zh-CN"/>
        </w:rPr>
        <w:t>T</w:t>
      </w:r>
      <w:r>
        <w:rPr>
          <w:rFonts w:hint="default" w:ascii="Times New Roman" w:hAnsi="Times New Roman" w:cs="Times New Roman"/>
          <w:b/>
          <w:bCs/>
          <w:sz w:val="28"/>
          <w:szCs w:val="36"/>
        </w:rPr>
        <w:t xml:space="preserve">raining </w:t>
      </w:r>
      <w:r>
        <w:rPr>
          <w:rFonts w:hint="default" w:ascii="Times New Roman" w:hAnsi="Times New Roman" w:cs="Times New Roman"/>
          <w:b/>
          <w:bCs/>
          <w:sz w:val="28"/>
          <w:szCs w:val="36"/>
          <w:lang w:val="en-US" w:eastAsia="zh-CN"/>
        </w:rPr>
        <w:t>S</w:t>
      </w:r>
      <w:r>
        <w:rPr>
          <w:rFonts w:hint="default" w:ascii="Times New Roman" w:hAnsi="Times New Roman" w:cs="Times New Roman"/>
          <w:b/>
          <w:bCs/>
          <w:sz w:val="28"/>
          <w:szCs w:val="36"/>
        </w:rPr>
        <w:t>ubsidy</w:t>
      </w:r>
      <w:r>
        <w:rPr>
          <w:rFonts w:hint="default" w:ascii="Times New Roman" w:hAnsi="Times New Roman" w:cs="Times New Roman"/>
          <w:b/>
          <w:bCs/>
          <w:sz w:val="28"/>
          <w:szCs w:val="36"/>
          <w:lang w:val="en-US" w:eastAsia="zh-CN"/>
        </w:rPr>
        <w:t xml:space="preserve"> </w:t>
      </w:r>
      <w:r>
        <w:rPr>
          <w:rFonts w:hint="eastAsia" w:ascii="Times New Roman" w:hAnsi="Times New Roman" w:cs="Times New Roman"/>
          <w:b/>
          <w:bCs/>
          <w:sz w:val="28"/>
          <w:szCs w:val="36"/>
          <w:lang w:val="en-US" w:eastAsia="zh-CN"/>
        </w:rPr>
        <w:t>in 2020</w:t>
      </w:r>
    </w:p>
    <w:p>
      <w:pPr>
        <w:ind w:firstLine="2249" w:firstLineChars="800"/>
        <w:jc w:val="both"/>
        <w:rPr>
          <w:rFonts w:hint="eastAsia"/>
          <w:b/>
          <w:bCs/>
          <w:sz w:val="28"/>
          <w:szCs w:val="36"/>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A living allowance is provided according to the actual expenses incurred during the exchange training, transportation, meals and accommodation, up to a maximum of three times per person, not exceeding 30,000 yuan per person per year for overseas exchange training and 10,000 yuan per person per year for domestic</w:t>
      </w:r>
      <w:r>
        <w:rPr>
          <w:rFonts w:hint="eastAsia" w:ascii="Times New Roman" w:hAnsi="Times New Roman" w:cs="Times New Roman"/>
          <w:sz w:val="24"/>
          <w:szCs w:val="32"/>
          <w:lang w:val="en-US" w:eastAsia="zh-CN"/>
        </w:rPr>
        <w:t xml:space="preserve"> </w:t>
      </w:r>
      <w:r>
        <w:rPr>
          <w:rFonts w:hint="default" w:ascii="Times New Roman" w:hAnsi="Times New Roman" w:cs="Times New Roman"/>
          <w:sz w:val="24"/>
          <w:szCs w:val="32"/>
          <w:lang w:val="en-US" w:eastAsia="zh-CN"/>
        </w:rPr>
        <w:t>exchange training. According to the post-subsidy mode, the employer will pay the relevant expenses first and then apply for the subsidy in accordance with the procedures.</w:t>
      </w:r>
    </w:p>
    <w:p>
      <w:pPr>
        <w:jc w:val="both"/>
        <w:rPr>
          <w:rFonts w:hint="default" w:ascii="Times New Roman" w:hAnsi="Times New Roman" w:cs="Times New Roman"/>
          <w:sz w:val="24"/>
          <w:szCs w:val="32"/>
          <w:lang w:val="en-US" w:eastAsia="zh-CN"/>
        </w:rPr>
      </w:pPr>
    </w:p>
    <w:p>
      <w:pPr>
        <w:jc w:val="both"/>
        <w:rPr>
          <w:rFonts w:hint="eastAsia"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Conditions:</w:t>
      </w:r>
    </w:p>
    <w:p>
      <w:pPr>
        <w:jc w:val="both"/>
        <w:rPr>
          <w:rFonts w:hint="eastAsia" w:ascii="Times New Roman" w:hAnsi="Times New Roman" w:cs="Times New Roman"/>
          <w:sz w:val="24"/>
          <w:szCs w:val="32"/>
          <w:lang w:val="en-US" w:eastAsia="zh-CN"/>
        </w:rPr>
      </w:pPr>
    </w:p>
    <w:p>
      <w:pPr>
        <w:jc w:val="both"/>
        <w:rPr>
          <w:rFonts w:hint="eastAsia"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 xml:space="preserve">The applicant should be </w:t>
      </w:r>
      <w:r>
        <w:rPr>
          <w:rFonts w:hint="eastAsia" w:ascii="Times New Roman" w:hAnsi="Times New Roman" w:cs="Times New Roman"/>
          <w:sz w:val="24"/>
          <w:szCs w:val="32"/>
          <w:highlight w:val="yellow"/>
          <w:lang w:val="en-US" w:eastAsia="zh-CN"/>
        </w:rPr>
        <w:t>under 55</w:t>
      </w:r>
      <w:r>
        <w:rPr>
          <w:rFonts w:hint="eastAsia" w:ascii="Times New Roman" w:hAnsi="Times New Roman" w:cs="Times New Roman"/>
          <w:sz w:val="24"/>
          <w:szCs w:val="32"/>
          <w:lang w:val="en-US" w:eastAsia="zh-CN"/>
        </w:rPr>
        <w:t xml:space="preserve"> in general.</w:t>
      </w:r>
    </w:p>
    <w:p>
      <w:pPr>
        <w:jc w:val="both"/>
        <w:rPr>
          <w:rFonts w:hint="eastAsia"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Types:</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 Overseas </w:t>
      </w:r>
      <w:r>
        <w:rPr>
          <w:rFonts w:hint="eastAsia" w:ascii="Times New Roman" w:hAnsi="Times New Roman" w:cs="Times New Roman"/>
          <w:sz w:val="24"/>
          <w:szCs w:val="32"/>
          <w:lang w:val="en-US" w:eastAsia="zh-CN"/>
        </w:rPr>
        <w:t>T</w:t>
      </w:r>
      <w:r>
        <w:rPr>
          <w:rFonts w:hint="default" w:ascii="Times New Roman" w:hAnsi="Times New Roman" w:cs="Times New Roman"/>
          <w:sz w:val="24"/>
          <w:szCs w:val="32"/>
          <w:lang w:val="en-US" w:eastAsia="zh-CN"/>
        </w:rPr>
        <w:t xml:space="preserve">raining </w:t>
      </w:r>
      <w:r>
        <w:rPr>
          <w:rFonts w:hint="eastAsia" w:ascii="Times New Roman" w:hAnsi="Times New Roman" w:cs="Times New Roman"/>
          <w:sz w:val="24"/>
          <w:szCs w:val="32"/>
          <w:lang w:val="en-US" w:eastAsia="zh-CN"/>
        </w:rPr>
        <w:t>S</w:t>
      </w:r>
      <w:r>
        <w:rPr>
          <w:rFonts w:hint="default" w:ascii="Times New Roman" w:hAnsi="Times New Roman" w:cs="Times New Roman"/>
          <w:sz w:val="24"/>
          <w:szCs w:val="32"/>
          <w:lang w:val="en-US" w:eastAsia="zh-CN"/>
        </w:rPr>
        <w:t>ubsidies</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Go to relevant overseas institutions for professional training, training or visiting scholarship (excluding academic or degree education) for three months or more, or conduct cooperative research on projects. The </w:t>
      </w:r>
      <w:r>
        <w:rPr>
          <w:rFonts w:hint="eastAsia" w:ascii="Times New Roman" w:hAnsi="Times New Roman" w:cs="Times New Roman"/>
          <w:sz w:val="24"/>
          <w:szCs w:val="32"/>
          <w:lang w:val="en-US" w:eastAsia="zh-CN"/>
        </w:rPr>
        <w:t>funding</w:t>
      </w:r>
      <w:r>
        <w:rPr>
          <w:rFonts w:hint="default" w:ascii="Times New Roman" w:hAnsi="Times New Roman" w:cs="Times New Roman"/>
          <w:sz w:val="24"/>
          <w:szCs w:val="32"/>
          <w:lang w:val="en-US" w:eastAsia="zh-CN"/>
        </w:rPr>
        <w:t xml:space="preserve"> is not more than 15,000 Yuan per person for 3-6 months; for more than 6 months, the fee is not more than 30,000 Yuan per person.</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(2) Overseas Exchange Grants</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To participate in important academic conferences or exchange and discussion activities abroad. If the venue is in Taiwan, Hong Kong and Macau, the sponsorship fee shall not exceed 10,000 yuan per person; if the venue is in Asia (excluding China), the </w:t>
      </w:r>
      <w:r>
        <w:rPr>
          <w:rFonts w:hint="eastAsia" w:ascii="Times New Roman" w:hAnsi="Times New Roman" w:cs="Times New Roman"/>
          <w:sz w:val="24"/>
          <w:szCs w:val="32"/>
          <w:lang w:val="en-US" w:eastAsia="zh-CN"/>
        </w:rPr>
        <w:t>funding</w:t>
      </w:r>
      <w:r>
        <w:rPr>
          <w:rFonts w:hint="default" w:ascii="Times New Roman" w:hAnsi="Times New Roman" w:cs="Times New Roman"/>
          <w:sz w:val="24"/>
          <w:szCs w:val="32"/>
          <w:lang w:val="en-US" w:eastAsia="zh-CN"/>
        </w:rPr>
        <w:t xml:space="preserve"> shall not exceed 20,000 yuan per person; if the venue is outside Asia, the </w:t>
      </w:r>
      <w:r>
        <w:rPr>
          <w:rFonts w:hint="eastAsia" w:ascii="Times New Roman" w:hAnsi="Times New Roman" w:cs="Times New Roman"/>
          <w:sz w:val="24"/>
          <w:szCs w:val="32"/>
          <w:lang w:val="en-US" w:eastAsia="zh-CN"/>
        </w:rPr>
        <w:t>funding</w:t>
      </w:r>
      <w:r>
        <w:rPr>
          <w:rFonts w:hint="default" w:ascii="Times New Roman" w:hAnsi="Times New Roman" w:cs="Times New Roman"/>
          <w:sz w:val="24"/>
          <w:szCs w:val="32"/>
          <w:lang w:val="en-US" w:eastAsia="zh-CN"/>
        </w:rPr>
        <w:t xml:space="preserve"> shall not exceed 30,000 yuan per person.</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(3) Domestic Training Sponsorship</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Travel to relevant institutions in China for professional training, training or visiting scholarship (excluding academic or degree education) for three months or more, or to conduct cooperative research projects. The sponsorship fee shall not exceed </w:t>
      </w:r>
      <w:r>
        <w:rPr>
          <w:rFonts w:hint="eastAsia" w:ascii="Times New Roman" w:hAnsi="Times New Roman" w:cs="Times New Roman"/>
          <w:sz w:val="24"/>
          <w:szCs w:val="32"/>
          <w:lang w:val="en-US" w:eastAsia="zh-CN"/>
        </w:rPr>
        <w:t xml:space="preserve">5000 yuan </w:t>
      </w:r>
      <w:r>
        <w:rPr>
          <w:rFonts w:hint="default" w:ascii="Times New Roman" w:hAnsi="Times New Roman" w:cs="Times New Roman"/>
          <w:sz w:val="24"/>
          <w:szCs w:val="32"/>
          <w:lang w:val="en-US" w:eastAsia="zh-CN"/>
        </w:rPr>
        <w:t>per person for 3-6 months and RMB 10,000 per person for more than 6 months.</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(4) Domestic Exchange Grant</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To attend important academic conferences or exchange and discussion activities in China, the sponsorship fee shall not exceed</w:t>
      </w:r>
      <w:r>
        <w:rPr>
          <w:rFonts w:hint="default" w:ascii="Times New Roman" w:hAnsi="Times New Roman" w:cs="Times New Roman"/>
          <w:sz w:val="24"/>
          <w:szCs w:val="32"/>
          <w:highlight w:val="none"/>
          <w:lang w:val="en-US" w:eastAsia="zh-CN"/>
        </w:rPr>
        <w:t xml:space="preserve"> 5,000 yuan</w:t>
      </w:r>
      <w:r>
        <w:rPr>
          <w:rFonts w:hint="default" w:ascii="Times New Roman" w:hAnsi="Times New Roman" w:cs="Times New Roman"/>
          <w:sz w:val="24"/>
          <w:szCs w:val="32"/>
          <w:lang w:val="en-US" w:eastAsia="zh-CN"/>
        </w:rPr>
        <w:t xml:space="preserve"> per person.</w:t>
      </w:r>
    </w:p>
    <w:p>
      <w:pPr>
        <w:jc w:val="both"/>
        <w:rPr>
          <w:rFonts w:hint="eastAsia"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Note: The conferences or exchanges mentioned above should be included in the Guideline for Significant Academic Conference 2018 published by Chinese Association of Science.</w:t>
      </w:r>
    </w:p>
    <w:p>
      <w:pPr>
        <w:jc w:val="both"/>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The time for the training, conference and exchange should be during 2017.12.20-2020.5.30.</w:t>
      </w:r>
    </w:p>
    <w:p>
      <w:pPr>
        <w:jc w:val="both"/>
        <w:rPr>
          <w:rFonts w:hint="eastAsia" w:ascii="Times New Roman" w:hAnsi="Times New Roman" w:cs="Times New Roman"/>
          <w:sz w:val="24"/>
          <w:szCs w:val="32"/>
          <w:lang w:val="en-US" w:eastAsia="zh-CN"/>
        </w:rPr>
      </w:pPr>
    </w:p>
    <w:p>
      <w:pPr>
        <w:jc w:val="both"/>
        <w:rPr>
          <w:rFonts w:hint="eastAsia"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Attachments:</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 Personal </w:t>
      </w:r>
      <w:r>
        <w:rPr>
          <w:rFonts w:hint="eastAsia" w:ascii="Times New Roman" w:hAnsi="Times New Roman" w:cs="Times New Roman"/>
          <w:sz w:val="24"/>
          <w:szCs w:val="32"/>
          <w:lang w:val="en-US" w:eastAsia="zh-CN"/>
        </w:rPr>
        <w:t>ID certificate</w:t>
      </w:r>
      <w:r>
        <w:rPr>
          <w:rFonts w:hint="default" w:ascii="Times New Roman" w:hAnsi="Times New Roman" w:cs="Times New Roman"/>
          <w:sz w:val="24"/>
          <w:szCs w:val="32"/>
          <w:lang w:val="en-US" w:eastAsia="zh-CN"/>
        </w:rPr>
        <w:t>.</w:t>
      </w:r>
      <w:bookmarkStart w:id="0" w:name="_GoBack"/>
      <w:bookmarkEnd w:id="0"/>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2.</w:t>
      </w:r>
      <w:r>
        <w:rPr>
          <w:rFonts w:hint="eastAsia" w:ascii="Times New Roman" w:hAnsi="Times New Roman" w:cs="Times New Roman"/>
          <w:sz w:val="24"/>
          <w:szCs w:val="32"/>
          <w:lang w:val="en-US" w:eastAsia="zh-CN"/>
        </w:rPr>
        <w:t xml:space="preserve"> </w:t>
      </w:r>
      <w:r>
        <w:rPr>
          <w:rFonts w:hint="default" w:ascii="Times New Roman" w:hAnsi="Times New Roman" w:cs="Times New Roman"/>
          <w:sz w:val="24"/>
          <w:szCs w:val="32"/>
          <w:lang w:val="en-US" w:eastAsia="zh-CN"/>
        </w:rPr>
        <w:t>The employer's supporting materials (</w:t>
      </w:r>
      <w:r>
        <w:rPr>
          <w:rFonts w:hint="eastAsia" w:ascii="Times New Roman" w:hAnsi="Times New Roman" w:cs="Times New Roman"/>
          <w:sz w:val="24"/>
          <w:szCs w:val="32"/>
          <w:lang w:val="en-US" w:eastAsia="zh-CN"/>
        </w:rPr>
        <w:t>legal person representative certificate</w:t>
      </w:r>
      <w:r>
        <w:rPr>
          <w:rFonts w:hint="default" w:ascii="Times New Roman" w:hAnsi="Times New Roman" w:cs="Times New Roman"/>
          <w:sz w:val="24"/>
          <w:szCs w:val="32"/>
          <w:lang w:val="en-US" w:eastAsia="zh-CN"/>
        </w:rPr>
        <w:t>);</w:t>
      </w: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3. </w:t>
      </w:r>
      <w:r>
        <w:rPr>
          <w:rFonts w:hint="eastAsia" w:ascii="Times New Roman" w:hAnsi="Times New Roman" w:cs="Times New Roman"/>
          <w:sz w:val="24"/>
          <w:szCs w:val="32"/>
          <w:lang w:val="en-US" w:eastAsia="zh-CN"/>
        </w:rPr>
        <w:t>T</w:t>
      </w:r>
      <w:r>
        <w:rPr>
          <w:rFonts w:hint="default" w:ascii="Times New Roman" w:hAnsi="Times New Roman" w:cs="Times New Roman"/>
          <w:sz w:val="24"/>
          <w:szCs w:val="32"/>
          <w:lang w:val="en-US" w:eastAsia="zh-CN"/>
        </w:rPr>
        <w:t>he exchange and training related contracts (agreements) signed by the employing unit and the talents;</w:t>
      </w: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4. </w:t>
      </w:r>
      <w:r>
        <w:rPr>
          <w:rFonts w:hint="eastAsia" w:ascii="Times New Roman" w:hAnsi="Times New Roman" w:cs="Times New Roman"/>
          <w:sz w:val="24"/>
          <w:szCs w:val="32"/>
          <w:lang w:val="en-US" w:eastAsia="zh-CN"/>
        </w:rPr>
        <w:t>T</w:t>
      </w:r>
      <w:r>
        <w:rPr>
          <w:rFonts w:hint="default" w:ascii="Times New Roman" w:hAnsi="Times New Roman" w:cs="Times New Roman"/>
          <w:sz w:val="24"/>
          <w:szCs w:val="32"/>
          <w:lang w:val="en-US" w:eastAsia="zh-CN"/>
        </w:rPr>
        <w:t xml:space="preserve">he </w:t>
      </w:r>
      <w:r>
        <w:rPr>
          <w:rFonts w:hint="eastAsia" w:ascii="Times New Roman" w:hAnsi="Times New Roman" w:cs="Times New Roman"/>
          <w:sz w:val="24"/>
          <w:szCs w:val="32"/>
          <w:lang w:val="en-US" w:eastAsia="zh-CN"/>
        </w:rPr>
        <w:t>invoice/proof</w:t>
      </w:r>
      <w:r>
        <w:rPr>
          <w:rFonts w:hint="default" w:ascii="Times New Roman" w:hAnsi="Times New Roman" w:cs="Times New Roman"/>
          <w:sz w:val="24"/>
          <w:szCs w:val="32"/>
          <w:lang w:val="en-US" w:eastAsia="zh-CN"/>
        </w:rPr>
        <w:t xml:space="preserve"> of the payment </w:t>
      </w:r>
      <w:r>
        <w:rPr>
          <w:rFonts w:hint="eastAsia" w:ascii="Times New Roman" w:hAnsi="Times New Roman" w:cs="Times New Roman"/>
          <w:sz w:val="24"/>
          <w:szCs w:val="32"/>
          <w:lang w:val="en-US" w:eastAsia="zh-CN"/>
        </w:rPr>
        <w:t xml:space="preserve">from employing unit </w:t>
      </w:r>
      <w:r>
        <w:rPr>
          <w:rFonts w:hint="default" w:ascii="Times New Roman" w:hAnsi="Times New Roman" w:cs="Times New Roman"/>
          <w:sz w:val="24"/>
          <w:szCs w:val="32"/>
          <w:lang w:val="en-US" w:eastAsia="zh-CN"/>
        </w:rPr>
        <w:t xml:space="preserve">of </w:t>
      </w:r>
      <w:r>
        <w:rPr>
          <w:rFonts w:hint="eastAsia" w:ascii="Times New Roman" w:hAnsi="Times New Roman" w:cs="Times New Roman"/>
          <w:sz w:val="24"/>
          <w:szCs w:val="32"/>
          <w:lang w:val="en-US" w:eastAsia="zh-CN"/>
        </w:rPr>
        <w:t>the expenses spent by the applicant</w:t>
      </w:r>
      <w:r>
        <w:rPr>
          <w:rFonts w:hint="default" w:ascii="Times New Roman" w:hAnsi="Times New Roman" w:cs="Times New Roman"/>
          <w:sz w:val="24"/>
          <w:szCs w:val="32"/>
          <w:lang w:val="en-US" w:eastAsia="zh-CN"/>
        </w:rPr>
        <w:t>.</w:t>
      </w: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5. Evidence of the main </w:t>
      </w:r>
      <w:r>
        <w:rPr>
          <w:rFonts w:hint="eastAsia" w:ascii="Times New Roman" w:hAnsi="Times New Roman" w:cs="Times New Roman"/>
          <w:sz w:val="24"/>
          <w:szCs w:val="32"/>
          <w:lang w:val="en-US" w:eastAsia="zh-CN"/>
        </w:rPr>
        <w:t>achievement/</w:t>
      </w:r>
      <w:r>
        <w:rPr>
          <w:rFonts w:hint="default" w:ascii="Times New Roman" w:hAnsi="Times New Roman" w:cs="Times New Roman"/>
          <w:sz w:val="24"/>
          <w:szCs w:val="32"/>
          <w:lang w:val="en-US" w:eastAsia="zh-CN"/>
        </w:rPr>
        <w:t>results during the exchange training or participation in the project.</w:t>
      </w:r>
    </w:p>
    <w:p>
      <w:pPr>
        <w:jc w:val="both"/>
        <w:rPr>
          <w:rFonts w:hint="default" w:ascii="Times New Roman" w:hAnsi="Times New Roman" w:cs="Times New Roman"/>
          <w:sz w:val="24"/>
          <w:szCs w:val="32"/>
          <w:lang w:val="en-US" w:eastAsia="zh-CN"/>
        </w:rPr>
      </w:pPr>
    </w:p>
    <w:p>
      <w:pPr>
        <w:jc w:val="both"/>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Provide </w:t>
      </w:r>
      <w:r>
        <w:rPr>
          <w:rFonts w:hint="default" w:ascii="Times New Roman" w:hAnsi="Times New Roman" w:cs="Times New Roman"/>
          <w:sz w:val="24"/>
          <w:szCs w:val="32"/>
          <w:highlight w:val="yellow"/>
          <w:lang w:val="en-US" w:eastAsia="zh-CN"/>
        </w:rPr>
        <w:t>cop</w:t>
      </w:r>
      <w:r>
        <w:rPr>
          <w:rFonts w:hint="eastAsia" w:ascii="Times New Roman" w:hAnsi="Times New Roman" w:cs="Times New Roman"/>
          <w:sz w:val="24"/>
          <w:szCs w:val="32"/>
          <w:highlight w:val="yellow"/>
          <w:lang w:val="en-US" w:eastAsia="zh-CN"/>
        </w:rPr>
        <w:t>y</w:t>
      </w:r>
      <w:r>
        <w:rPr>
          <w:rFonts w:hint="default" w:ascii="Times New Roman" w:hAnsi="Times New Roman" w:cs="Times New Roman"/>
          <w:sz w:val="24"/>
          <w:szCs w:val="32"/>
          <w:highlight w:val="yellow"/>
          <w:lang w:val="en-US" w:eastAsia="zh-CN"/>
        </w:rPr>
        <w:t xml:space="preserve"> of item </w:t>
      </w:r>
      <w:r>
        <w:rPr>
          <w:rFonts w:hint="eastAsia" w:ascii="Times New Roman" w:hAnsi="Times New Roman" w:cs="Times New Roman"/>
          <w:sz w:val="24"/>
          <w:szCs w:val="32"/>
          <w:highlight w:val="yellow"/>
          <w:lang w:val="en-US" w:eastAsia="zh-CN"/>
        </w:rPr>
        <w:t>no.</w:t>
      </w:r>
      <w:r>
        <w:rPr>
          <w:rFonts w:hint="default" w:ascii="Times New Roman" w:hAnsi="Times New Roman" w:cs="Times New Roman"/>
          <w:sz w:val="24"/>
          <w:szCs w:val="32"/>
          <w:highlight w:val="yellow"/>
          <w:lang w:val="en-US" w:eastAsia="zh-CN"/>
        </w:rPr>
        <w:t>1</w:t>
      </w:r>
      <w:r>
        <w:rPr>
          <w:rFonts w:hint="default" w:ascii="Times New Roman" w:hAnsi="Times New Roman" w:cs="Times New Roman"/>
          <w:sz w:val="24"/>
          <w:szCs w:val="32"/>
          <w:lang w:val="en-US" w:eastAsia="zh-CN"/>
        </w:rPr>
        <w:t xml:space="preserve"> of the </w:t>
      </w:r>
      <w:r>
        <w:rPr>
          <w:rFonts w:hint="eastAsia" w:ascii="Times New Roman" w:hAnsi="Times New Roman" w:cs="Times New Roman"/>
          <w:sz w:val="24"/>
          <w:szCs w:val="32"/>
          <w:lang w:val="en-US" w:eastAsia="zh-CN"/>
        </w:rPr>
        <w:t>attachment</w:t>
      </w:r>
      <w:r>
        <w:rPr>
          <w:rFonts w:hint="default" w:ascii="Times New Roman" w:hAnsi="Times New Roman" w:cs="Times New Roman"/>
          <w:sz w:val="24"/>
          <w:szCs w:val="32"/>
          <w:lang w:val="en-US" w:eastAsia="zh-CN"/>
        </w:rPr>
        <w:t xml:space="preserve"> materials, and provide </w:t>
      </w:r>
      <w:r>
        <w:rPr>
          <w:rFonts w:hint="default" w:ascii="Times New Roman" w:hAnsi="Times New Roman" w:cs="Times New Roman"/>
          <w:sz w:val="24"/>
          <w:szCs w:val="32"/>
          <w:highlight w:val="yellow"/>
          <w:lang w:val="en-US" w:eastAsia="zh-CN"/>
        </w:rPr>
        <w:t xml:space="preserve">originals and copies of </w:t>
      </w:r>
      <w:r>
        <w:rPr>
          <w:rFonts w:hint="default" w:ascii="Times New Roman" w:hAnsi="Times New Roman" w:cs="Times New Roman"/>
          <w:sz w:val="24"/>
          <w:szCs w:val="32"/>
          <w:lang w:val="en-US" w:eastAsia="zh-CN"/>
        </w:rPr>
        <w:t>other materials (originals</w:t>
      </w:r>
      <w:r>
        <w:rPr>
          <w:rFonts w:hint="eastAsia" w:ascii="Times New Roman" w:hAnsi="Times New Roman" w:cs="Times New Roman"/>
          <w:sz w:val="24"/>
          <w:szCs w:val="32"/>
          <w:lang w:val="en-US" w:eastAsia="zh-CN"/>
        </w:rPr>
        <w:t xml:space="preserve"> would be</w:t>
      </w:r>
      <w:r>
        <w:rPr>
          <w:rFonts w:hint="default" w:ascii="Times New Roman" w:hAnsi="Times New Roman" w:cs="Times New Roman"/>
          <w:sz w:val="24"/>
          <w:szCs w:val="32"/>
          <w:lang w:val="en-US" w:eastAsia="zh-CN"/>
        </w:rPr>
        <w:t xml:space="preserve"> returned after review, </w:t>
      </w:r>
      <w:r>
        <w:rPr>
          <w:rFonts w:hint="eastAsia" w:ascii="Times New Roman" w:hAnsi="Times New Roman" w:cs="Times New Roman"/>
          <w:sz w:val="24"/>
          <w:szCs w:val="32"/>
          <w:lang w:val="en-US" w:eastAsia="zh-CN"/>
        </w:rPr>
        <w:t xml:space="preserve">each material needs </w:t>
      </w:r>
      <w:r>
        <w:rPr>
          <w:rFonts w:hint="eastAsia" w:ascii="Times New Roman" w:hAnsi="Times New Roman" w:cs="Times New Roman"/>
          <w:sz w:val="24"/>
          <w:szCs w:val="32"/>
          <w:highlight w:val="yellow"/>
          <w:lang w:val="en-US" w:eastAsia="zh-CN"/>
        </w:rPr>
        <w:t>one copy</w:t>
      </w:r>
      <w:r>
        <w:rPr>
          <w:rFonts w:hint="default" w:ascii="Times New Roman" w:hAnsi="Times New Roman" w:cs="Times New Roman"/>
          <w:sz w:val="24"/>
          <w:szCs w:val="32"/>
          <w:lang w:val="en-US" w:eastAsia="zh-CN"/>
        </w:rPr>
        <w:t>, to be verified by the reporting unit and stamped with the unit's administrative seal).</w:t>
      </w:r>
    </w:p>
    <w:p>
      <w:pPr>
        <w:jc w:val="both"/>
        <w:rPr>
          <w:rFonts w:hint="default" w:ascii="Times New Roman" w:hAnsi="Times New Roman" w:cs="Times New Roman"/>
          <w:sz w:val="28"/>
          <w:szCs w:val="36"/>
          <w:lang w:val="en-US" w:eastAsia="zh-CN"/>
        </w:rPr>
      </w:pPr>
    </w:p>
    <w:p>
      <w:pPr>
        <w:jc w:val="both"/>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The application deadline is</w:t>
      </w:r>
      <w:r>
        <w:rPr>
          <w:rFonts w:hint="eastAsia" w:ascii="Times New Roman" w:hAnsi="Times New Roman" w:cs="Times New Roman"/>
          <w:b/>
          <w:bCs/>
          <w:sz w:val="24"/>
          <w:szCs w:val="32"/>
          <w:lang w:val="en-US" w:eastAsia="zh-CN"/>
        </w:rPr>
        <w:t xml:space="preserve"> July 31</w:t>
      </w:r>
      <w:r>
        <w:rPr>
          <w:rFonts w:hint="eastAsia" w:ascii="Times New Roman" w:hAnsi="Times New Roman" w:cs="Times New Roman"/>
          <w:b/>
          <w:bCs/>
          <w:sz w:val="24"/>
          <w:szCs w:val="32"/>
          <w:vertAlign w:val="superscript"/>
          <w:lang w:val="en-US" w:eastAsia="zh-CN"/>
        </w:rPr>
        <w:t xml:space="preserve">st,  </w:t>
      </w:r>
      <w:r>
        <w:rPr>
          <w:rFonts w:hint="eastAsia" w:ascii="Times New Roman" w:hAnsi="Times New Roman" w:cs="Times New Roman"/>
          <w:b/>
          <w:bCs/>
          <w:sz w:val="24"/>
          <w:szCs w:val="32"/>
          <w:vertAlign w:val="baseline"/>
          <w:lang w:val="en-US" w:eastAsia="zh-CN"/>
        </w:rPr>
        <w:t>2020</w:t>
      </w:r>
      <w:r>
        <w:rPr>
          <w:rFonts w:hint="eastAsia" w:ascii="Times New Roman" w:hAnsi="Times New Roman" w:cs="Times New Roman"/>
          <w:sz w:val="24"/>
          <w:szCs w:val="32"/>
          <w:vertAlign w:val="baseline"/>
          <w:lang w:val="en-US" w:eastAsia="zh-CN"/>
        </w:rPr>
        <w:t>.</w:t>
      </w:r>
    </w:p>
    <w:p>
      <w:pPr>
        <w:jc w:val="both"/>
        <w:rPr>
          <w:rFonts w:hint="default" w:ascii="Times New Roman" w:hAnsi="Times New Roman" w:cs="Times New Roman"/>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B57CC"/>
    <w:rsid w:val="1A9B57CC"/>
    <w:rsid w:val="39E2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EYQKJF6MWWUA-347277308-62790</_dlc_DocId>
    <_dlc_DocIdUrl xmlns="a5252c03-436d-443d-9623-35b6b1750146">
      <Url>https://technionchina.sharepoint.com/sites/Files/_layouts/15/DocIdRedir.aspx?ID=EYQKJF6MWWUA-347277308-62790</Url>
      <Description>EYQKJF6MWWUA-347277308-62790</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4E8B9-C574-4EBE-B5B8-A07C1E44F198}"/>
</file>

<file path=customXml/itemProps3.xml><?xml version="1.0" encoding="utf-8"?>
<ds:datastoreItem xmlns:ds="http://schemas.openxmlformats.org/officeDocument/2006/customXml" ds:itemID="{8EC581AF-9AD4-4463-9FB8-56CC8B889B26}"/>
</file>

<file path=customXml/itemProps4.xml><?xml version="1.0" encoding="utf-8"?>
<ds:datastoreItem xmlns:ds="http://schemas.openxmlformats.org/officeDocument/2006/customXml" ds:itemID="{8025301B-EC8E-4C8E-9103-5319AC76F1FF}"/>
</file>

<file path=customXml/itemProps5.xml><?xml version="1.0" encoding="utf-8"?>
<ds:datastoreItem xmlns:ds="http://schemas.openxmlformats.org/officeDocument/2006/customXml" ds:itemID="{DB8DDC9C-B6DA-4DF9-9B31-D69FDF35E06F}"/>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Joey妍小宁</dc:creator>
  <cp:lastModifiedBy>Joey妍小宁</cp:lastModifiedBy>
  <cp:revision>1</cp:revision>
  <dcterms:created xsi:type="dcterms:W3CDTF">2020-07-27T07:44:00Z</dcterms:created>
  <dcterms:modified xsi:type="dcterms:W3CDTF">2020-07-28T08:39:48Z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ef71efcd-f4f0-4a69-a7c2-07986912f9e6</vt:lpwstr>
  </property>
</Properties>
</file>