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jc w:val="center"/>
        <w:rPr>
          <w:rFonts w:ascii="Times New Roman" w:hAnsi="Times New Roman" w:eastAsia="宋体" w:cs="Times New Roman"/>
          <w:sz w:val="32"/>
          <w:szCs w:val="32"/>
        </w:rPr>
      </w:pPr>
      <w:r>
        <w:rPr>
          <w:rFonts w:ascii="Times New Roman" w:hAnsi="Times New Roman" w:eastAsia="宋体" w:cs="Times New Roman"/>
          <w:b/>
          <w:sz w:val="32"/>
          <w:szCs w:val="32"/>
        </w:rPr>
        <w:t>Application Guide for 2020 Key Projects of Guangdong-</w:t>
      </w:r>
      <w:r>
        <w:rPr>
          <w:rFonts w:hint="eastAsia" w:ascii="Times New Roman" w:hAnsi="Times New Roman" w:eastAsia="宋体" w:cs="Times New Roman"/>
          <w:b/>
          <w:sz w:val="32"/>
          <w:szCs w:val="32"/>
          <w:lang w:val="en-US" w:eastAsia="zh-CN"/>
        </w:rPr>
        <w:t>Dongguan</w:t>
      </w:r>
      <w:r>
        <w:rPr>
          <w:rFonts w:ascii="Times New Roman" w:hAnsi="Times New Roman" w:eastAsia="宋体" w:cs="Times New Roman"/>
          <w:b/>
          <w:sz w:val="32"/>
          <w:szCs w:val="32"/>
        </w:rPr>
        <w:t xml:space="preserve"> </w:t>
      </w:r>
      <w:r>
        <w:rPr>
          <w:rFonts w:hint="eastAsia" w:ascii="Times New Roman" w:hAnsi="Times New Roman" w:eastAsia="宋体" w:cs="Times New Roman"/>
          <w:b/>
          <w:sz w:val="32"/>
          <w:szCs w:val="32"/>
          <w:lang w:val="en-US" w:eastAsia="zh-CN"/>
        </w:rPr>
        <w:t>Collaborative</w:t>
      </w:r>
      <w:r>
        <w:rPr>
          <w:rFonts w:ascii="Times New Roman" w:hAnsi="Times New Roman" w:eastAsia="宋体" w:cs="Times New Roman"/>
          <w:b/>
          <w:sz w:val="32"/>
          <w:szCs w:val="32"/>
        </w:rPr>
        <w:t xml:space="preserve"> Fund</w:t>
      </w:r>
      <w:r>
        <w:rPr>
          <w:rFonts w:ascii="Times New Roman" w:hAnsi="Times New Roman" w:eastAsia="宋体" w:cs="Times New Roman"/>
          <w:sz w:val="32"/>
          <w:szCs w:val="32"/>
        </w:rPr>
        <w:t xml:space="preserve"> </w:t>
      </w:r>
    </w:p>
    <w:p>
      <w:pPr>
        <w:adjustRightInd w:val="0"/>
        <w:snapToGrid w:val="0"/>
        <w:spacing w:before="120" w:beforeLines="50" w:after="120" w:afterLines="50"/>
        <w:jc w:val="center"/>
        <w:rPr>
          <w:rFonts w:ascii="Times New Roman" w:hAnsi="Times New Roman" w:eastAsia="宋体" w:cs="Times New Roman"/>
          <w:sz w:val="32"/>
          <w:szCs w:val="32"/>
        </w:rPr>
      </w:pPr>
    </w:p>
    <w:p>
      <w:pPr>
        <w:adjustRightInd w:val="0"/>
        <w:snapToGrid w:val="0"/>
        <w:spacing w:before="120" w:beforeLines="50" w:after="120" w:afterLines="50"/>
        <w:ind w:firstLine="562"/>
        <w:rPr>
          <w:rFonts w:ascii="Times New Roman" w:hAnsi="Times New Roman" w:eastAsia="宋体" w:cs="Times New Roman"/>
          <w:b/>
          <w:sz w:val="28"/>
          <w:szCs w:val="22"/>
        </w:rPr>
      </w:pPr>
      <w:r>
        <w:rPr>
          <w:rFonts w:ascii="Times New Roman" w:hAnsi="Times New Roman" w:eastAsia="宋体" w:cs="Times New Roman"/>
          <w:b/>
          <w:sz w:val="28"/>
          <w:szCs w:val="22"/>
        </w:rPr>
        <w:t>I.</w:t>
      </w:r>
      <w:r>
        <w:rPr>
          <w:rFonts w:hint="eastAsia" w:ascii="Times New Roman" w:hAnsi="Times New Roman" w:eastAsia="宋体" w:cs="Times New Roman"/>
          <w:b/>
          <w:sz w:val="28"/>
          <w:szCs w:val="22"/>
        </w:rPr>
        <w:t xml:space="preserve"> </w:t>
      </w:r>
      <w:r>
        <w:rPr>
          <w:rFonts w:ascii="Times New Roman" w:hAnsi="Times New Roman" w:eastAsia="宋体" w:cs="Times New Roman"/>
          <w:b/>
          <w:sz w:val="28"/>
          <w:szCs w:val="22"/>
        </w:rPr>
        <w:t>Application Requirements</w:t>
      </w:r>
      <w:r>
        <w:rPr>
          <w:rFonts w:ascii="Times New Roman" w:hAnsi="Times New Roman" w:eastAsia="宋体" w:cs="Times New Roman"/>
          <w:sz w:val="28"/>
          <w:szCs w:val="22"/>
        </w:rPr>
        <w:t xml:space="preserve"> </w:t>
      </w:r>
    </w:p>
    <w:p>
      <w:pPr>
        <w:adjustRightInd w:val="0"/>
        <w:snapToGrid w:val="0"/>
        <w:spacing w:before="120" w:beforeLines="50" w:after="120" w:afterLines="50"/>
        <w:ind w:firstLine="480"/>
        <w:rPr>
          <w:rFonts w:ascii="Times New Roman" w:hAnsi="Times New Roman" w:eastAsia="宋体" w:cs="Times New Roman"/>
          <w:sz w:val="24"/>
          <w:szCs w:val="22"/>
        </w:rPr>
      </w:pPr>
      <w:r>
        <w:rPr>
          <w:rFonts w:ascii="Times New Roman" w:hAnsi="Times New Roman" w:eastAsia="宋体" w:cs="Times New Roman"/>
          <w:sz w:val="24"/>
          <w:szCs w:val="22"/>
        </w:rPr>
        <w:t>(I)</w:t>
      </w:r>
      <w:r>
        <w:rPr>
          <w:rFonts w:hint="eastAsia" w:ascii="Times New Roman" w:hAnsi="Times New Roman" w:eastAsia="宋体" w:cs="Times New Roman"/>
          <w:sz w:val="24"/>
          <w:szCs w:val="22"/>
        </w:rPr>
        <w:t xml:space="preserve"> </w:t>
      </w:r>
      <w:r>
        <w:rPr>
          <w:rFonts w:ascii="Times New Roman" w:hAnsi="Times New Roman" w:eastAsia="宋体" w:cs="Times New Roman"/>
          <w:sz w:val="24"/>
          <w:szCs w:val="22"/>
        </w:rPr>
        <w:t xml:space="preserve">The </w:t>
      </w:r>
      <w:r>
        <w:rPr>
          <w:rFonts w:hint="eastAsia" w:ascii="Times New Roman" w:hAnsi="Times New Roman" w:eastAsia="宋体" w:cs="Times New Roman"/>
          <w:sz w:val="24"/>
          <w:szCs w:val="22"/>
          <w:lang w:val="en-US" w:eastAsia="zh-CN"/>
        </w:rPr>
        <w:t>leading host</w:t>
      </w:r>
      <w:r>
        <w:rPr>
          <w:rFonts w:ascii="Times New Roman" w:hAnsi="Times New Roman" w:eastAsia="宋体" w:cs="Times New Roman"/>
          <w:sz w:val="24"/>
          <w:szCs w:val="22"/>
        </w:rPr>
        <w:t xml:space="preserve"> application </w:t>
      </w:r>
      <w:r>
        <w:rPr>
          <w:rFonts w:hint="eastAsia" w:ascii="Times New Roman" w:hAnsi="Times New Roman" w:eastAsia="宋体" w:cs="Times New Roman"/>
          <w:sz w:val="24"/>
          <w:szCs w:val="22"/>
          <w:lang w:val="en-US" w:eastAsia="zh-CN"/>
        </w:rPr>
        <w:t>institution</w:t>
      </w:r>
      <w:r>
        <w:rPr>
          <w:rFonts w:ascii="Times New Roman" w:hAnsi="Times New Roman" w:eastAsia="宋体" w:cs="Times New Roman"/>
          <w:sz w:val="24"/>
          <w:szCs w:val="22"/>
        </w:rPr>
        <w:t xml:space="preserve"> must a provincial fund </w:t>
      </w:r>
      <w:r>
        <w:rPr>
          <w:rFonts w:hint="eastAsia" w:ascii="Times New Roman" w:hAnsi="Times New Roman" w:eastAsia="宋体" w:cs="Times New Roman"/>
          <w:sz w:val="24"/>
          <w:szCs w:val="22"/>
          <w:lang w:val="en-US" w:eastAsia="zh-CN"/>
        </w:rPr>
        <w:t>host</w:t>
      </w:r>
      <w:r>
        <w:rPr>
          <w:rFonts w:ascii="Times New Roman" w:hAnsi="Times New Roman" w:eastAsia="宋体" w:cs="Times New Roman"/>
          <w:sz w:val="24"/>
          <w:szCs w:val="22"/>
        </w:rPr>
        <w:t xml:space="preserve"> institution within Guangdong Province, and the key projects of Guangdong-</w:t>
      </w:r>
      <w:r>
        <w:rPr>
          <w:rFonts w:hint="eastAsia" w:ascii="Times New Roman" w:hAnsi="Times New Roman" w:eastAsia="宋体" w:cs="Times New Roman"/>
          <w:sz w:val="24"/>
          <w:szCs w:val="22"/>
          <w:lang w:eastAsia="zh-CN"/>
        </w:rPr>
        <w:t>dongguan</w:t>
      </w:r>
      <w:r>
        <w:rPr>
          <w:rFonts w:ascii="Times New Roman" w:hAnsi="Times New Roman" w:eastAsia="宋体" w:cs="Times New Roman"/>
          <w:sz w:val="24"/>
          <w:szCs w:val="22"/>
        </w:rPr>
        <w:t xml:space="preserve"> </w:t>
      </w:r>
      <w:r>
        <w:rPr>
          <w:rFonts w:hint="eastAsia" w:ascii="Times New Roman" w:hAnsi="Times New Roman" w:eastAsia="宋体" w:cs="Times New Roman"/>
          <w:sz w:val="24"/>
          <w:szCs w:val="22"/>
          <w:lang w:val="en-US" w:eastAsia="zh-CN"/>
        </w:rPr>
        <w:t>Collaborative</w:t>
      </w:r>
      <w:r>
        <w:rPr>
          <w:rFonts w:ascii="Times New Roman" w:hAnsi="Times New Roman" w:eastAsia="宋体" w:cs="Times New Roman"/>
          <w:sz w:val="24"/>
          <w:szCs w:val="22"/>
        </w:rPr>
        <w:t xml:space="preserve"> Fund must be led by the </w:t>
      </w:r>
      <w:r>
        <w:rPr>
          <w:rFonts w:hint="eastAsia" w:ascii="Times New Roman" w:hAnsi="Times New Roman" w:eastAsia="宋体" w:cs="Times New Roman"/>
          <w:sz w:val="24"/>
          <w:szCs w:val="22"/>
          <w:lang w:val="en-US" w:eastAsia="zh-CN"/>
        </w:rPr>
        <w:t>host</w:t>
      </w:r>
      <w:r>
        <w:rPr>
          <w:rFonts w:ascii="Times New Roman" w:hAnsi="Times New Roman" w:eastAsia="宋体" w:cs="Times New Roman"/>
          <w:sz w:val="24"/>
          <w:szCs w:val="22"/>
        </w:rPr>
        <w:t xml:space="preserve"> institutions in </w:t>
      </w:r>
      <w:r>
        <w:rPr>
          <w:rFonts w:hint="eastAsia" w:ascii="Times New Roman" w:hAnsi="Times New Roman" w:eastAsia="宋体" w:cs="Times New Roman"/>
          <w:sz w:val="24"/>
          <w:szCs w:val="22"/>
          <w:lang w:eastAsia="zh-CN"/>
        </w:rPr>
        <w:t>dongguan</w:t>
      </w:r>
      <w:r>
        <w:rPr>
          <w:rFonts w:ascii="Times New Roman" w:hAnsi="Times New Roman" w:eastAsia="宋体" w:cs="Times New Roman"/>
          <w:sz w:val="24"/>
          <w:szCs w:val="22"/>
        </w:rPr>
        <w:t xml:space="preserve"> or the </w:t>
      </w:r>
      <w:r>
        <w:rPr>
          <w:rFonts w:hint="eastAsia" w:ascii="Times New Roman" w:hAnsi="Times New Roman" w:eastAsia="宋体" w:cs="Times New Roman"/>
          <w:sz w:val="24"/>
          <w:szCs w:val="22"/>
          <w:lang w:val="en-US" w:eastAsia="zh-CN"/>
        </w:rPr>
        <w:t>host</w:t>
      </w:r>
      <w:r>
        <w:rPr>
          <w:rFonts w:ascii="Times New Roman" w:hAnsi="Times New Roman" w:eastAsia="宋体" w:cs="Times New Roman"/>
          <w:sz w:val="24"/>
          <w:szCs w:val="22"/>
        </w:rPr>
        <w:t xml:space="preserve"> institutions in </w:t>
      </w:r>
      <w:r>
        <w:rPr>
          <w:rFonts w:hint="eastAsia" w:ascii="Times New Roman" w:hAnsi="Times New Roman" w:eastAsia="宋体" w:cs="Times New Roman"/>
          <w:sz w:val="24"/>
          <w:szCs w:val="22"/>
          <w:lang w:eastAsia="zh-CN"/>
        </w:rPr>
        <w:t>dongguan</w:t>
      </w:r>
      <w:r>
        <w:rPr>
          <w:rFonts w:ascii="Times New Roman" w:hAnsi="Times New Roman" w:eastAsia="宋体" w:cs="Times New Roman"/>
          <w:sz w:val="24"/>
          <w:szCs w:val="22"/>
        </w:rPr>
        <w:t xml:space="preserve"> must participate in the cooperative application. </w:t>
      </w:r>
    </w:p>
    <w:p>
      <w:pPr>
        <w:adjustRightInd w:val="0"/>
        <w:snapToGrid w:val="0"/>
        <w:spacing w:before="120" w:beforeLines="50" w:after="120" w:afterLines="50"/>
        <w:ind w:firstLine="480"/>
        <w:rPr>
          <w:rFonts w:ascii="Times New Roman" w:hAnsi="Times New Roman" w:eastAsia="宋体" w:cs="Times New Roman"/>
          <w:sz w:val="24"/>
          <w:szCs w:val="22"/>
        </w:rPr>
      </w:pPr>
      <w:r>
        <w:rPr>
          <w:rFonts w:ascii="Times New Roman" w:hAnsi="Times New Roman" w:eastAsia="宋体" w:cs="Times New Roman"/>
          <w:sz w:val="24"/>
          <w:szCs w:val="22"/>
        </w:rPr>
        <w:t>(II)</w:t>
      </w:r>
      <w:r>
        <w:rPr>
          <w:rFonts w:hint="eastAsia" w:ascii="Times New Roman" w:hAnsi="Times New Roman" w:eastAsia="宋体" w:cs="Times New Roman"/>
          <w:sz w:val="24"/>
          <w:szCs w:val="22"/>
        </w:rPr>
        <w:t xml:space="preserve"> </w:t>
      </w:r>
      <w:r>
        <w:rPr>
          <w:rFonts w:ascii="Times New Roman" w:hAnsi="Times New Roman" w:eastAsia="宋体" w:cs="Times New Roman"/>
          <w:sz w:val="24"/>
          <w:szCs w:val="22"/>
        </w:rPr>
        <w:t>The applicant should be a</w:t>
      </w:r>
      <w:r>
        <w:rPr>
          <w:rFonts w:hint="eastAsia" w:ascii="Times New Roman" w:hAnsi="Times New Roman" w:eastAsia="宋体" w:cs="Times New Roman"/>
          <w:sz w:val="24"/>
          <w:szCs w:val="22"/>
          <w:lang w:val="en-US" w:eastAsia="zh-CN"/>
        </w:rPr>
        <w:t xml:space="preserve"> current employed and in-service</w:t>
      </w:r>
      <w:r>
        <w:rPr>
          <w:rFonts w:ascii="Times New Roman" w:hAnsi="Times New Roman" w:eastAsia="宋体" w:cs="Times New Roman"/>
          <w:sz w:val="24"/>
          <w:szCs w:val="22"/>
        </w:rPr>
        <w:t xml:space="preserve"> staff of the </w:t>
      </w:r>
      <w:r>
        <w:rPr>
          <w:rFonts w:hint="eastAsia" w:ascii="Times New Roman" w:hAnsi="Times New Roman" w:eastAsia="宋体" w:cs="Times New Roman"/>
          <w:sz w:val="24"/>
          <w:szCs w:val="22"/>
          <w:lang w:val="en-US" w:eastAsia="zh-CN"/>
        </w:rPr>
        <w:t xml:space="preserve">host </w:t>
      </w:r>
      <w:r>
        <w:rPr>
          <w:rFonts w:ascii="Times New Roman" w:hAnsi="Times New Roman" w:eastAsia="宋体" w:cs="Times New Roman"/>
          <w:sz w:val="24"/>
          <w:szCs w:val="22"/>
        </w:rPr>
        <w:t xml:space="preserve">institution or staff employed by two organizations (at least one of the following certificates must be uploaded, including the certificate of employment at the supporting institution, employment contract, social security proof in recent three months and payment certificate of individual income tax). </w:t>
      </w:r>
    </w:p>
    <w:p>
      <w:pPr>
        <w:adjustRightInd w:val="0"/>
        <w:snapToGrid w:val="0"/>
        <w:spacing w:before="120" w:beforeLines="50" w:after="120" w:afterLines="50"/>
        <w:ind w:firstLine="480"/>
        <w:rPr>
          <w:rFonts w:ascii="Times New Roman" w:hAnsi="Times New Roman" w:eastAsia="宋体" w:cs="Times New Roman"/>
          <w:sz w:val="24"/>
          <w:szCs w:val="22"/>
        </w:rPr>
      </w:pPr>
      <w:r>
        <w:rPr>
          <w:rFonts w:ascii="Times New Roman" w:hAnsi="Times New Roman" w:eastAsia="宋体" w:cs="Times New Roman"/>
          <w:sz w:val="24"/>
          <w:szCs w:val="22"/>
        </w:rPr>
        <w:t>(III)</w:t>
      </w:r>
      <w:r>
        <w:rPr>
          <w:rFonts w:hint="eastAsia" w:ascii="Times New Roman" w:hAnsi="Times New Roman" w:eastAsia="宋体" w:cs="Times New Roman"/>
          <w:sz w:val="24"/>
          <w:szCs w:val="22"/>
          <w:lang w:val="en-US" w:eastAsia="zh-CN"/>
        </w:rPr>
        <w:t xml:space="preserve"> </w:t>
      </w:r>
      <w:r>
        <w:rPr>
          <w:rFonts w:ascii="Times New Roman" w:hAnsi="Times New Roman" w:eastAsia="宋体" w:cs="Times New Roman"/>
          <w:sz w:val="24"/>
          <w:szCs w:val="22"/>
        </w:rPr>
        <w:t xml:space="preserve">The applicant is the </w:t>
      </w:r>
      <w:r>
        <w:rPr>
          <w:rFonts w:hint="eastAsia" w:ascii="Times New Roman" w:hAnsi="Times New Roman" w:eastAsia="宋体" w:cs="Times New Roman"/>
          <w:sz w:val="24"/>
          <w:szCs w:val="22"/>
          <w:lang w:val="en-US" w:eastAsia="zh-CN"/>
        </w:rPr>
        <w:t>principle investigator</w:t>
      </w:r>
      <w:r>
        <w:rPr>
          <w:rFonts w:ascii="Times New Roman" w:hAnsi="Times New Roman" w:eastAsia="宋体" w:cs="Times New Roman"/>
          <w:sz w:val="24"/>
          <w:szCs w:val="22"/>
        </w:rPr>
        <w:t xml:space="preserve"> in charge of the project and must have the doctorate or the associate senior job title and above. In addition, the applicant should have presided over national or provincial science and technology programs (including National Natural Science Foundation of China and </w:t>
      </w:r>
      <w:r>
        <w:rPr>
          <w:rFonts w:hint="eastAsia" w:ascii="Times New Roman" w:hAnsi="Times New Roman" w:eastAsia="宋体" w:cs="Times New Roman"/>
          <w:sz w:val="24"/>
          <w:szCs w:val="22"/>
        </w:rPr>
        <w:t>P</w:t>
      </w:r>
      <w:r>
        <w:rPr>
          <w:rFonts w:ascii="Times New Roman" w:hAnsi="Times New Roman" w:eastAsia="宋体" w:cs="Times New Roman"/>
          <w:sz w:val="24"/>
          <w:szCs w:val="22"/>
        </w:rPr>
        <w:t xml:space="preserve">rovincial </w:t>
      </w:r>
      <w:r>
        <w:rPr>
          <w:rFonts w:hint="eastAsia" w:ascii="Times New Roman" w:hAnsi="Times New Roman" w:eastAsia="宋体" w:cs="Times New Roman"/>
          <w:sz w:val="24"/>
          <w:szCs w:val="22"/>
        </w:rPr>
        <w:t>F</w:t>
      </w:r>
      <w:r>
        <w:rPr>
          <w:rFonts w:ascii="Times New Roman" w:hAnsi="Times New Roman" w:eastAsia="宋体" w:cs="Times New Roman"/>
          <w:sz w:val="24"/>
          <w:szCs w:val="22"/>
        </w:rPr>
        <w:t xml:space="preserve">und </w:t>
      </w:r>
      <w:r>
        <w:rPr>
          <w:rFonts w:hint="eastAsia" w:ascii="Times New Roman" w:hAnsi="Times New Roman" w:eastAsia="宋体" w:cs="Times New Roman"/>
          <w:sz w:val="24"/>
          <w:szCs w:val="22"/>
        </w:rPr>
        <w:t>P</w:t>
      </w:r>
      <w:r>
        <w:rPr>
          <w:rFonts w:ascii="Times New Roman" w:hAnsi="Times New Roman" w:eastAsia="宋体" w:cs="Times New Roman"/>
          <w:sz w:val="24"/>
          <w:szCs w:val="22"/>
        </w:rPr>
        <w:t xml:space="preserve">rojects) or city-level key research projects (the diploma or certificate of job title, project contract, assignment brief or conclusion reply letter must be uploaded on the system). </w:t>
      </w:r>
    </w:p>
    <w:p>
      <w:pPr>
        <w:adjustRightInd w:val="0"/>
        <w:snapToGrid w:val="0"/>
        <w:spacing w:before="120" w:beforeLines="50" w:after="120" w:afterLines="50"/>
        <w:ind w:firstLine="480"/>
        <w:rPr>
          <w:rFonts w:ascii="Times New Roman" w:hAnsi="Times New Roman" w:eastAsia="宋体" w:cs="Times New Roman"/>
          <w:sz w:val="24"/>
          <w:szCs w:val="22"/>
        </w:rPr>
      </w:pPr>
      <w:r>
        <w:rPr>
          <w:rFonts w:ascii="Times New Roman" w:hAnsi="Times New Roman" w:eastAsia="宋体" w:cs="Times New Roman"/>
          <w:sz w:val="24"/>
          <w:szCs w:val="22"/>
        </w:rPr>
        <w:t xml:space="preserve">(IV)The applicant should meet the application requirements in the text of the Notification. </w:t>
      </w:r>
    </w:p>
    <w:p>
      <w:pPr>
        <w:adjustRightInd w:val="0"/>
        <w:snapToGrid w:val="0"/>
        <w:spacing w:before="120" w:beforeLines="50" w:after="120" w:afterLines="50"/>
        <w:ind w:firstLine="480"/>
        <w:rPr>
          <w:rFonts w:ascii="Times New Roman" w:hAnsi="Times New Roman" w:eastAsia="宋体" w:cs="Times New Roman"/>
          <w:b/>
          <w:sz w:val="28"/>
          <w:szCs w:val="22"/>
        </w:rPr>
      </w:pPr>
    </w:p>
    <w:p>
      <w:pPr>
        <w:adjustRightInd w:val="0"/>
        <w:snapToGrid w:val="0"/>
        <w:spacing w:before="120" w:beforeLines="50" w:after="120" w:afterLines="50"/>
        <w:ind w:firstLine="480"/>
        <w:rPr>
          <w:rFonts w:ascii="Times New Roman" w:hAnsi="Times New Roman" w:eastAsia="宋体" w:cs="Times New Roman"/>
          <w:b/>
          <w:sz w:val="28"/>
          <w:szCs w:val="22"/>
        </w:rPr>
      </w:pPr>
      <w:r>
        <w:rPr>
          <w:rFonts w:ascii="Times New Roman" w:hAnsi="Times New Roman" w:eastAsia="宋体" w:cs="Times New Roman"/>
          <w:b/>
          <w:sz w:val="28"/>
          <w:szCs w:val="22"/>
        </w:rPr>
        <w:t>II.</w:t>
      </w:r>
      <w:r>
        <w:rPr>
          <w:rFonts w:hint="eastAsia" w:ascii="Times New Roman" w:hAnsi="Times New Roman" w:eastAsia="宋体" w:cs="Times New Roman"/>
          <w:b/>
          <w:sz w:val="28"/>
          <w:szCs w:val="22"/>
        </w:rPr>
        <w:t xml:space="preserve"> </w:t>
      </w:r>
      <w:r>
        <w:rPr>
          <w:rFonts w:hint="eastAsia" w:ascii="Times New Roman" w:hAnsi="Times New Roman" w:eastAsia="宋体" w:cs="Times New Roman"/>
          <w:b/>
          <w:sz w:val="28"/>
          <w:szCs w:val="22"/>
          <w:lang w:val="en-US" w:eastAsia="zh-CN"/>
        </w:rPr>
        <w:t>Award Size</w:t>
      </w:r>
      <w:r>
        <w:rPr>
          <w:rFonts w:ascii="Times New Roman" w:hAnsi="Times New Roman" w:eastAsia="宋体" w:cs="Times New Roman"/>
          <w:b/>
          <w:sz w:val="28"/>
          <w:szCs w:val="22"/>
        </w:rPr>
        <w:t xml:space="preserve"> and Implementation </w:t>
      </w:r>
      <w:r>
        <w:rPr>
          <w:rFonts w:hint="eastAsia" w:ascii="Times New Roman" w:hAnsi="Times New Roman" w:eastAsia="宋体" w:cs="Times New Roman"/>
          <w:b/>
          <w:sz w:val="28"/>
          <w:szCs w:val="22"/>
          <w:lang w:val="en-US" w:eastAsia="zh-CN"/>
        </w:rPr>
        <w:t>Period</w:t>
      </w:r>
      <w:r>
        <w:rPr>
          <w:rFonts w:ascii="Times New Roman" w:hAnsi="Times New Roman" w:eastAsia="宋体" w:cs="Times New Roman"/>
          <w:sz w:val="28"/>
          <w:szCs w:val="22"/>
        </w:rPr>
        <w:t xml:space="preserve"> </w:t>
      </w:r>
    </w:p>
    <w:p>
      <w:pPr>
        <w:adjustRightInd w:val="0"/>
        <w:snapToGrid w:val="0"/>
        <w:spacing w:before="120" w:beforeLines="50" w:after="120" w:afterLines="50"/>
        <w:ind w:firstLine="480"/>
        <w:rPr>
          <w:rFonts w:ascii="Times New Roman" w:hAnsi="Times New Roman" w:eastAsia="宋体" w:cs="Times New Roman"/>
          <w:sz w:val="24"/>
          <w:szCs w:val="22"/>
        </w:rPr>
      </w:pPr>
      <w:r>
        <w:rPr>
          <w:rFonts w:ascii="Times New Roman" w:hAnsi="Times New Roman" w:eastAsia="宋体" w:cs="Times New Roman"/>
          <w:sz w:val="24"/>
          <w:szCs w:val="22"/>
        </w:rPr>
        <w:t xml:space="preserve">The project </w:t>
      </w:r>
      <w:r>
        <w:rPr>
          <w:rFonts w:hint="eastAsia" w:ascii="Times New Roman" w:hAnsi="Times New Roman" w:eastAsia="宋体" w:cs="Times New Roman"/>
          <w:sz w:val="24"/>
          <w:szCs w:val="22"/>
          <w:lang w:val="en-US" w:eastAsia="zh-CN"/>
        </w:rPr>
        <w:t>award size</w:t>
      </w:r>
      <w:r>
        <w:rPr>
          <w:rFonts w:ascii="Times New Roman" w:hAnsi="Times New Roman" w:eastAsia="宋体" w:cs="Times New Roman"/>
          <w:sz w:val="24"/>
          <w:szCs w:val="22"/>
        </w:rPr>
        <w:t xml:space="preserve"> is </w:t>
      </w:r>
      <w:r>
        <w:rPr>
          <w:rFonts w:ascii="Times New Roman" w:hAnsi="Times New Roman" w:eastAsia="宋体" w:cs="Times New Roman"/>
          <w:b/>
          <w:bCs/>
          <w:sz w:val="24"/>
          <w:szCs w:val="22"/>
          <w:highlight w:val="yellow"/>
        </w:rPr>
        <w:t>RMB 1,000,000/</w:t>
      </w:r>
      <w:r>
        <w:rPr>
          <w:rFonts w:hint="eastAsia" w:ascii="Times New Roman" w:hAnsi="Times New Roman" w:eastAsia="宋体" w:cs="Times New Roman"/>
          <w:b/>
          <w:bCs/>
          <w:sz w:val="24"/>
          <w:szCs w:val="22"/>
          <w:highlight w:val="yellow"/>
          <w:lang w:val="en-US" w:eastAsia="zh-CN"/>
        </w:rPr>
        <w:t>project</w:t>
      </w:r>
      <w:r>
        <w:rPr>
          <w:rFonts w:ascii="Times New Roman" w:hAnsi="Times New Roman" w:eastAsia="宋体" w:cs="Times New Roman"/>
          <w:sz w:val="24"/>
          <w:szCs w:val="22"/>
        </w:rPr>
        <w:t>, and the implementation</w:t>
      </w:r>
      <w:r>
        <w:rPr>
          <w:rFonts w:hint="eastAsia" w:ascii="Times New Roman" w:hAnsi="Times New Roman" w:eastAsia="宋体" w:cs="Times New Roman"/>
          <w:sz w:val="24"/>
          <w:szCs w:val="22"/>
          <w:lang w:val="en-US" w:eastAsia="zh-CN"/>
        </w:rPr>
        <w:t xml:space="preserve"> period</w:t>
      </w:r>
      <w:r>
        <w:rPr>
          <w:rFonts w:ascii="Times New Roman" w:hAnsi="Times New Roman" w:eastAsia="宋体" w:cs="Times New Roman"/>
          <w:sz w:val="24"/>
          <w:szCs w:val="22"/>
        </w:rPr>
        <w:t xml:space="preserve"> is generally </w:t>
      </w:r>
      <w:r>
        <w:rPr>
          <w:rFonts w:ascii="Times New Roman" w:hAnsi="Times New Roman" w:eastAsia="宋体" w:cs="Times New Roman"/>
          <w:b/>
          <w:bCs/>
          <w:sz w:val="24"/>
          <w:szCs w:val="22"/>
          <w:highlight w:val="yellow"/>
        </w:rPr>
        <w:t>3 years</w:t>
      </w:r>
      <w:r>
        <w:rPr>
          <w:rFonts w:ascii="Times New Roman" w:hAnsi="Times New Roman" w:eastAsia="宋体" w:cs="Times New Roman"/>
          <w:sz w:val="24"/>
          <w:szCs w:val="22"/>
        </w:rPr>
        <w:t xml:space="preserve">. The project fund is appropriated at a time. </w:t>
      </w:r>
    </w:p>
    <w:p>
      <w:pPr>
        <w:rPr>
          <w:rFonts w:hint="eastAsia"/>
        </w:rPr>
      </w:pPr>
    </w:p>
    <w:p>
      <w:pPr>
        <w:adjustRightInd w:val="0"/>
        <w:snapToGrid w:val="0"/>
        <w:spacing w:before="120" w:beforeLines="50" w:after="120" w:afterLines="50"/>
        <w:ind w:firstLine="420" w:firstLineChars="200"/>
        <w:rPr>
          <w:rFonts w:hint="eastAsia" w:ascii="Times New Roman" w:hAnsi="Times New Roman" w:eastAsia="宋体" w:cs="Times New Roman"/>
          <w:b/>
          <w:sz w:val="28"/>
          <w:szCs w:val="22"/>
          <w:lang w:val="en-US" w:eastAsia="zh-CN"/>
        </w:rPr>
      </w:pPr>
      <w:r>
        <w:rPr>
          <w:rFonts w:hint="eastAsia"/>
          <w:lang w:val="en-US" w:eastAsia="zh-CN"/>
        </w:rPr>
        <w:t xml:space="preserve"> </w:t>
      </w:r>
      <w:r>
        <w:rPr>
          <w:rFonts w:hint="eastAsia" w:ascii="Times New Roman" w:hAnsi="Times New Roman" w:eastAsia="宋体" w:cs="Times New Roman"/>
          <w:b/>
          <w:sz w:val="28"/>
          <w:szCs w:val="22"/>
          <w:lang w:val="en-US" w:eastAsia="zh-CN"/>
        </w:rPr>
        <w:t xml:space="preserve">III. Requirements for expected results </w:t>
      </w:r>
    </w:p>
    <w:p>
      <w:pPr>
        <w:adjustRightInd w:val="0"/>
        <w:snapToGrid w:val="0"/>
        <w:spacing w:before="120" w:beforeLines="50" w:after="120" w:afterLines="50"/>
        <w:ind w:firstLine="480"/>
        <w:rPr>
          <w:rFonts w:hint="eastAsia" w:ascii="Times New Roman" w:hAnsi="Times New Roman" w:eastAsia="宋体" w:cs="Times New Roman"/>
          <w:sz w:val="24"/>
          <w:szCs w:val="22"/>
        </w:rPr>
      </w:pPr>
      <w:r>
        <w:rPr>
          <w:rFonts w:hint="eastAsia" w:ascii="Times New Roman" w:hAnsi="Times New Roman" w:eastAsia="宋体" w:cs="Times New Roman"/>
          <w:sz w:val="24"/>
          <w:szCs w:val="22"/>
        </w:rPr>
        <w:t xml:space="preserve">(1) The ability of project team members to undertake national-level science and technology plans and funds in their disciplinary fields has been greatly enhanced to promote regional cooperation in science and technology in the Guangdong-Hong Kong-Macao Greater Bay Area. </w:t>
      </w:r>
    </w:p>
    <w:p>
      <w:pPr>
        <w:adjustRightInd w:val="0"/>
        <w:snapToGrid w:val="0"/>
        <w:spacing w:before="120" w:beforeLines="50" w:after="120" w:afterLines="50"/>
        <w:ind w:firstLine="480"/>
        <w:rPr>
          <w:rFonts w:hint="eastAsia" w:ascii="Times New Roman" w:hAnsi="Times New Roman" w:eastAsia="宋体" w:cs="Times New Roman"/>
          <w:sz w:val="24"/>
          <w:szCs w:val="22"/>
        </w:rPr>
      </w:pPr>
      <w:r>
        <w:rPr>
          <w:rFonts w:hint="eastAsia" w:ascii="Times New Roman" w:hAnsi="Times New Roman" w:eastAsia="宋体" w:cs="Times New Roman"/>
          <w:sz w:val="24"/>
          <w:szCs w:val="22"/>
        </w:rPr>
        <w:t xml:space="preserve">(2) Achieve breakthroughs in the research of key scientific problems to support the development of key core technologies. </w:t>
      </w:r>
    </w:p>
    <w:p>
      <w:pPr>
        <w:adjustRightInd w:val="0"/>
        <w:snapToGrid w:val="0"/>
        <w:spacing w:before="120" w:beforeLines="50" w:after="120" w:afterLines="50"/>
        <w:ind w:firstLine="480"/>
        <w:rPr>
          <w:rFonts w:hint="eastAsia" w:ascii="Times New Roman" w:hAnsi="Times New Roman" w:eastAsia="宋体" w:cs="Times New Roman"/>
          <w:sz w:val="24"/>
          <w:szCs w:val="22"/>
        </w:rPr>
      </w:pPr>
      <w:r>
        <w:rPr>
          <w:rFonts w:hint="eastAsia" w:ascii="Times New Roman" w:hAnsi="Times New Roman" w:eastAsia="宋体" w:cs="Times New Roman"/>
          <w:sz w:val="24"/>
          <w:szCs w:val="22"/>
        </w:rPr>
        <w:t>(2) At least two high-quality papers or patent results published in national science and technology journals with international impact, international top-level or important science and technology journals recognized by the industry, as well as papers presented at top-level academic conferences at home and abroad (referred to as "three types of high-quality papers") (</w:t>
      </w:r>
      <w:r>
        <w:rPr>
          <w:rFonts w:hint="eastAsia" w:ascii="Times New Roman" w:hAnsi="Times New Roman" w:eastAsia="宋体" w:cs="Times New Roman"/>
          <w:sz w:val="24"/>
          <w:szCs w:val="22"/>
          <w:u w:val="single"/>
        </w:rPr>
        <w:t xml:space="preserve">to be </w:t>
      </w:r>
      <w:r>
        <w:rPr>
          <w:rFonts w:hint="eastAsia" w:ascii="Times New Roman" w:hAnsi="Times New Roman" w:eastAsia="宋体" w:cs="Times New Roman"/>
          <w:sz w:val="24"/>
          <w:szCs w:val="22"/>
          <w:u w:val="single"/>
          <w:lang w:val="en-US" w:eastAsia="zh-CN"/>
        </w:rPr>
        <w:t>acknowledg</w:t>
      </w:r>
      <w:r>
        <w:rPr>
          <w:rFonts w:hint="eastAsia" w:ascii="Times New Roman" w:hAnsi="Times New Roman" w:eastAsia="宋体" w:cs="Times New Roman"/>
          <w:sz w:val="24"/>
          <w:szCs w:val="22"/>
          <w:u w:val="single"/>
        </w:rPr>
        <w:t xml:space="preserve">ed as </w:t>
      </w:r>
      <w:r>
        <w:rPr>
          <w:rFonts w:hint="eastAsia" w:ascii="Times New Roman" w:hAnsi="Times New Roman" w:eastAsia="宋体" w:cs="Times New Roman"/>
          <w:sz w:val="24"/>
          <w:szCs w:val="22"/>
          <w:u w:val="single"/>
          <w:lang w:val="en-US" w:eastAsia="zh-CN"/>
        </w:rPr>
        <w:t>supported by this provincial-municipal collaborative fund projects</w:t>
      </w:r>
      <w:r>
        <w:rPr>
          <w:rFonts w:hint="eastAsia" w:ascii="Times New Roman" w:hAnsi="Times New Roman" w:eastAsia="宋体" w:cs="Times New Roman"/>
          <w:sz w:val="24"/>
          <w:szCs w:val="22"/>
        </w:rPr>
        <w:t>)</w:t>
      </w:r>
      <w:r>
        <w:rPr>
          <w:rFonts w:hint="eastAsia" w:ascii="Times New Roman" w:hAnsi="Times New Roman" w:eastAsia="宋体" w:cs="Times New Roman"/>
          <w:sz w:val="24"/>
          <w:szCs w:val="22"/>
          <w:lang w:val="en-US" w:eastAsia="zh-CN"/>
        </w:rPr>
        <w:t>, o</w:t>
      </w:r>
      <w:r>
        <w:rPr>
          <w:rFonts w:hint="eastAsia" w:ascii="Times New Roman" w:hAnsi="Times New Roman" w:eastAsia="宋体" w:cs="Times New Roman"/>
          <w:sz w:val="24"/>
          <w:szCs w:val="22"/>
        </w:rPr>
        <w:t xml:space="preserve">r apply for at least two relevant invention patents. No less than one scientific and technical report shall be submitted. </w:t>
      </w:r>
    </w:p>
    <w:p>
      <w:pPr>
        <w:adjustRightInd w:val="0"/>
        <w:snapToGrid w:val="0"/>
        <w:spacing w:before="120" w:beforeLines="50" w:after="120" w:afterLines="50"/>
        <w:ind w:firstLine="480"/>
        <w:rPr>
          <w:rFonts w:hint="eastAsia" w:ascii="Times New Roman" w:hAnsi="Times New Roman" w:eastAsia="宋体" w:cs="Times New Roman"/>
          <w:b/>
          <w:sz w:val="28"/>
          <w:szCs w:val="22"/>
          <w:lang w:val="en-US" w:eastAsia="zh-CN"/>
        </w:rPr>
      </w:pPr>
      <w:r>
        <w:rPr>
          <w:rFonts w:hint="eastAsia" w:ascii="Times New Roman" w:hAnsi="Times New Roman" w:eastAsia="宋体" w:cs="Times New Roman"/>
          <w:sz w:val="24"/>
          <w:szCs w:val="22"/>
        </w:rPr>
        <w:t>(3) Encourage the formation of diversified research results in monograph publication, standards and norms, personnel training and application of results.</w:t>
      </w:r>
    </w:p>
    <w:p>
      <w:pPr>
        <w:adjustRightInd w:val="0"/>
        <w:snapToGrid w:val="0"/>
        <w:spacing w:before="120" w:beforeLines="50" w:after="120" w:afterLines="50"/>
        <w:ind w:firstLine="480"/>
        <w:rPr>
          <w:rFonts w:ascii="Times New Roman" w:hAnsi="Times New Roman" w:eastAsia="宋体" w:cs="Times New Roman"/>
          <w:b/>
          <w:sz w:val="28"/>
          <w:szCs w:val="22"/>
        </w:rPr>
      </w:pPr>
    </w:p>
    <w:p>
      <w:pPr>
        <w:adjustRightInd w:val="0"/>
        <w:snapToGrid w:val="0"/>
        <w:spacing w:before="120" w:beforeLines="50" w:after="120" w:afterLines="50"/>
        <w:ind w:firstLine="480"/>
        <w:rPr>
          <w:rFonts w:ascii="Times New Roman" w:hAnsi="Times New Roman" w:eastAsia="宋体" w:cs="Times New Roman"/>
          <w:b/>
          <w:sz w:val="28"/>
          <w:szCs w:val="22"/>
        </w:rPr>
      </w:pPr>
      <w:r>
        <w:rPr>
          <w:rFonts w:ascii="Times New Roman" w:hAnsi="Times New Roman" w:eastAsia="宋体" w:cs="Times New Roman"/>
          <w:b/>
          <w:sz w:val="28"/>
          <w:szCs w:val="22"/>
        </w:rPr>
        <w:fldChar w:fldCharType="begin"/>
      </w:r>
      <w:r>
        <w:rPr>
          <w:rFonts w:ascii="Times New Roman" w:hAnsi="Times New Roman" w:eastAsia="宋体" w:cs="Times New Roman"/>
          <w:b/>
          <w:sz w:val="28"/>
          <w:szCs w:val="22"/>
        </w:rPr>
        <w:instrText xml:space="preserve"> = 4 \* ROMAN \* MERGEFORMAT </w:instrText>
      </w:r>
      <w:r>
        <w:rPr>
          <w:rFonts w:ascii="Times New Roman" w:hAnsi="Times New Roman" w:eastAsia="宋体" w:cs="Times New Roman"/>
          <w:b/>
          <w:sz w:val="28"/>
          <w:szCs w:val="22"/>
        </w:rPr>
        <w:fldChar w:fldCharType="separate"/>
      </w:r>
      <w:r>
        <w:rPr>
          <w:rFonts w:ascii="Times New Roman" w:hAnsi="Times New Roman" w:eastAsia="宋体" w:cs="Times New Roman"/>
          <w:b/>
          <w:sz w:val="28"/>
          <w:szCs w:val="22"/>
        </w:rPr>
        <w:t>IV</w:t>
      </w:r>
      <w:r>
        <w:rPr>
          <w:rFonts w:ascii="Times New Roman" w:hAnsi="Times New Roman" w:eastAsia="宋体" w:cs="Times New Roman"/>
          <w:b/>
          <w:sz w:val="28"/>
          <w:szCs w:val="22"/>
        </w:rPr>
        <w:fldChar w:fldCharType="end"/>
      </w:r>
      <w:r>
        <w:rPr>
          <w:rFonts w:ascii="Times New Roman" w:hAnsi="Times New Roman" w:eastAsia="宋体" w:cs="Times New Roman"/>
          <w:b/>
          <w:sz w:val="28"/>
          <w:szCs w:val="22"/>
        </w:rPr>
        <w:t>.</w:t>
      </w:r>
      <w:r>
        <w:rPr>
          <w:rFonts w:hint="eastAsia" w:ascii="Times New Roman" w:hAnsi="Times New Roman" w:eastAsia="宋体" w:cs="Times New Roman"/>
          <w:b/>
          <w:sz w:val="28"/>
          <w:szCs w:val="22"/>
        </w:rPr>
        <w:t xml:space="preserve"> </w:t>
      </w:r>
      <w:r>
        <w:rPr>
          <w:rFonts w:ascii="Times New Roman" w:hAnsi="Times New Roman" w:eastAsia="宋体" w:cs="Times New Roman"/>
          <w:b/>
          <w:sz w:val="28"/>
          <w:szCs w:val="22"/>
        </w:rPr>
        <w:t>Supported Fields and Directions</w:t>
      </w:r>
      <w:r>
        <w:rPr>
          <w:rFonts w:ascii="Times New Roman" w:hAnsi="Times New Roman" w:eastAsia="宋体" w:cs="Times New Roman"/>
          <w:sz w:val="28"/>
          <w:szCs w:val="22"/>
        </w:rPr>
        <w:t xml:space="preserve"> </w:t>
      </w:r>
    </w:p>
    <w:p>
      <w:pPr>
        <w:adjustRightInd w:val="0"/>
        <w:snapToGrid w:val="0"/>
        <w:spacing w:before="120" w:beforeLines="50" w:after="120" w:afterLines="50"/>
        <w:jc w:val="center"/>
        <w:rPr>
          <w:rFonts w:ascii="Times New Roman" w:hAnsi="Times New Roman" w:eastAsia="宋体" w:cs="Times New Roman"/>
          <w:b/>
          <w:sz w:val="24"/>
          <w:szCs w:val="22"/>
        </w:rPr>
      </w:pPr>
      <w:r>
        <w:rPr>
          <w:rFonts w:ascii="Times New Roman" w:hAnsi="Times New Roman" w:eastAsia="宋体" w:cs="Times New Roman"/>
          <w:b/>
          <w:sz w:val="24"/>
          <w:szCs w:val="22"/>
        </w:rPr>
        <w:t>Table 1: Application Guide and Direction List of Key Projects of Guangdong-</w:t>
      </w:r>
      <w:r>
        <w:rPr>
          <w:rFonts w:hint="eastAsia" w:ascii="Times New Roman" w:hAnsi="Times New Roman" w:eastAsia="宋体" w:cs="Times New Roman"/>
          <w:b/>
          <w:sz w:val="24"/>
          <w:szCs w:val="22"/>
          <w:lang w:val="en-US" w:eastAsia="zh-CN"/>
        </w:rPr>
        <w:t>Donnguan</w:t>
      </w:r>
      <w:r>
        <w:rPr>
          <w:rFonts w:ascii="Times New Roman" w:hAnsi="Times New Roman" w:eastAsia="宋体" w:cs="Times New Roman"/>
          <w:b/>
          <w:sz w:val="24"/>
          <w:szCs w:val="22"/>
        </w:rPr>
        <w:t xml:space="preserve"> </w:t>
      </w:r>
      <w:r>
        <w:rPr>
          <w:rFonts w:hint="eastAsia" w:ascii="Times New Roman" w:hAnsi="Times New Roman" w:eastAsia="宋体" w:cs="Times New Roman"/>
          <w:b/>
          <w:sz w:val="24"/>
          <w:szCs w:val="22"/>
          <w:lang w:val="en-US" w:eastAsia="zh-CN"/>
        </w:rPr>
        <w:t>Collaborative</w:t>
      </w:r>
      <w:r>
        <w:rPr>
          <w:rFonts w:ascii="Times New Roman" w:hAnsi="Times New Roman" w:eastAsia="宋体" w:cs="Times New Roman"/>
          <w:b/>
          <w:sz w:val="24"/>
          <w:szCs w:val="22"/>
        </w:rPr>
        <w:t xml:space="preserve"> Fund</w:t>
      </w:r>
      <w:r>
        <w:rPr>
          <w:rFonts w:ascii="Times New Roman" w:hAnsi="Times New Roman" w:eastAsia="宋体" w:cs="Times New Roman"/>
          <w:sz w:val="24"/>
          <w:szCs w:val="22"/>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5754"/>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5" w:type="dxa"/>
          </w:tcPr>
          <w:p>
            <w:pPr>
              <w:adjustRightInd w:val="0"/>
              <w:snapToGrid w:val="0"/>
              <w:spacing w:before="120" w:beforeLines="50" w:after="120" w:afterLines="50"/>
              <w:jc w:val="center"/>
              <w:rPr>
                <w:rFonts w:ascii="Times New Roman" w:hAnsi="Times New Roman" w:eastAsia="宋体" w:cs="Times New Roman"/>
                <w:b/>
                <w:sz w:val="24"/>
                <w:szCs w:val="22"/>
              </w:rPr>
            </w:pPr>
            <w:r>
              <w:rPr>
                <w:rFonts w:ascii="Times New Roman" w:hAnsi="Times New Roman" w:eastAsia="宋体" w:cs="Times New Roman"/>
                <w:b/>
                <w:sz w:val="24"/>
                <w:szCs w:val="22"/>
              </w:rPr>
              <w:t>Application code</w:t>
            </w:r>
            <w:r>
              <w:rPr>
                <w:rFonts w:ascii="Times New Roman" w:hAnsi="Times New Roman" w:eastAsia="宋体" w:cs="Times New Roman"/>
                <w:sz w:val="24"/>
                <w:szCs w:val="22"/>
              </w:rPr>
              <w:t xml:space="preserve"> </w:t>
            </w:r>
          </w:p>
        </w:tc>
        <w:tc>
          <w:tcPr>
            <w:tcW w:w="5754" w:type="dxa"/>
          </w:tcPr>
          <w:p>
            <w:pPr>
              <w:adjustRightInd w:val="0"/>
              <w:snapToGrid w:val="0"/>
              <w:spacing w:before="120" w:beforeLines="50" w:after="120" w:afterLines="50"/>
              <w:jc w:val="center"/>
              <w:rPr>
                <w:rFonts w:ascii="Times New Roman" w:hAnsi="Times New Roman" w:eastAsia="宋体" w:cs="Times New Roman"/>
                <w:b/>
                <w:sz w:val="24"/>
                <w:szCs w:val="22"/>
              </w:rPr>
            </w:pPr>
            <w:r>
              <w:rPr>
                <w:rFonts w:ascii="Times New Roman" w:hAnsi="Times New Roman" w:eastAsia="宋体" w:cs="Times New Roman"/>
                <w:b/>
                <w:sz w:val="24"/>
                <w:szCs w:val="22"/>
              </w:rPr>
              <w:t>Guide and direction</w:t>
            </w:r>
            <w:r>
              <w:rPr>
                <w:rFonts w:ascii="Times New Roman" w:hAnsi="Times New Roman" w:eastAsia="宋体" w:cs="Times New Roman"/>
                <w:sz w:val="24"/>
                <w:szCs w:val="22"/>
              </w:rPr>
              <w:t xml:space="preserve"> </w:t>
            </w:r>
          </w:p>
        </w:tc>
        <w:tc>
          <w:tcPr>
            <w:tcW w:w="1243" w:type="dxa"/>
          </w:tcPr>
          <w:p>
            <w:pPr>
              <w:adjustRightInd w:val="0"/>
              <w:snapToGrid w:val="0"/>
              <w:spacing w:before="120" w:beforeLines="50" w:after="120" w:afterLines="50"/>
              <w:jc w:val="center"/>
              <w:rPr>
                <w:rFonts w:ascii="Times New Roman" w:hAnsi="Times New Roman" w:eastAsia="宋体" w:cs="Times New Roman"/>
                <w:b/>
                <w:sz w:val="24"/>
                <w:szCs w:val="22"/>
              </w:rPr>
            </w:pPr>
            <w:r>
              <w:rPr>
                <w:rFonts w:ascii="Times New Roman" w:hAnsi="Times New Roman" w:eastAsia="宋体" w:cs="Times New Roman"/>
                <w:b/>
                <w:sz w:val="24"/>
                <w:szCs w:val="22"/>
              </w:rPr>
              <w:t xml:space="preserve">Remarks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adjustRightInd w:val="0"/>
              <w:snapToGrid w:val="0"/>
              <w:spacing w:before="120" w:beforeLines="50" w:after="120" w:afterLines="50"/>
              <w:rPr>
                <w:rFonts w:ascii="Times New Roman" w:hAnsi="Times New Roman" w:eastAsia="宋体" w:cs="Times New Roman"/>
                <w:b/>
                <w:sz w:val="24"/>
                <w:szCs w:val="22"/>
              </w:rPr>
            </w:pPr>
            <w:r>
              <w:rPr>
                <w:rFonts w:ascii="Times New Roman" w:hAnsi="Times New Roman" w:eastAsia="宋体" w:cs="Times New Roman"/>
                <w:b/>
                <w:sz w:val="24"/>
                <w:szCs w:val="22"/>
              </w:rPr>
              <w:t>(I)</w:t>
            </w:r>
            <w:r>
              <w:rPr>
                <w:rFonts w:hint="eastAsia" w:ascii="Times New Roman" w:hAnsi="Times New Roman" w:eastAsia="宋体" w:cs="Times New Roman"/>
                <w:b/>
                <w:sz w:val="24"/>
                <w:szCs w:val="22"/>
              </w:rPr>
              <w:t xml:space="preserve"> </w:t>
            </w:r>
            <w:r>
              <w:rPr>
                <w:rFonts w:ascii="Times New Roman" w:hAnsi="Times New Roman" w:eastAsia="宋体" w:cs="Times New Roman"/>
                <w:b/>
                <w:sz w:val="24"/>
                <w:szCs w:val="22"/>
              </w:rPr>
              <w:t>Field of mathematical and physical science</w:t>
            </w:r>
            <w:r>
              <w:rPr>
                <w:rFonts w:ascii="Times New Roman" w:hAnsi="Times New Roman" w:eastAsia="宋体" w:cs="Times New Roman"/>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DG0101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1. Neutron Technology and Methodology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A0504) </w:t>
            </w:r>
            <w:r>
              <w:rPr>
                <w:rFonts w:ascii="Times New Roman" w:hAnsi="Times New Roman" w:eastAsia="宋体" w:cs="Times New Roman"/>
                <w:sz w:val="24"/>
                <w:szCs w:val="22"/>
              </w:rPr>
              <w:t xml:space="preserve">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adjustRightInd w:val="0"/>
              <w:snapToGrid w:val="0"/>
              <w:spacing w:before="120" w:beforeLines="50" w:after="120" w:afterLines="50"/>
              <w:jc w:val="center"/>
              <w:rPr>
                <w:rFonts w:ascii="Times New Roman" w:hAnsi="Times New Roman" w:eastAsia="宋体" w:cs="Times New Roman"/>
                <w:sz w:val="24"/>
                <w:szCs w:val="22"/>
              </w:rPr>
            </w:pPr>
            <w:r>
              <w:rPr>
                <w:rFonts w:ascii="Times New Roman" w:hAnsi="Times New Roman" w:eastAsia="宋体" w:cs="Times New Roman"/>
                <w:sz w:val="24"/>
                <w:szCs w:val="22"/>
              </w:rPr>
              <w:t>SZ0102</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ascii="Times New Roman" w:hAnsi="Times New Roman" w:eastAsia="宋体" w:cs="Times New Roman"/>
                <w:sz w:val="24"/>
                <w:szCs w:val="22"/>
              </w:rPr>
              <w:t>2.</w:t>
            </w:r>
            <w:r>
              <w:rPr>
                <w:rFonts w:ascii="Times New Roman" w:hAnsi="Times New Roman" w:eastAsia="宋体" w:cs="Times New Roman"/>
                <w:sz w:val="24"/>
                <w:szCs w:val="22"/>
              </w:rPr>
              <w:tab/>
            </w:r>
            <w:r>
              <w:rPr>
                <w:rFonts w:ascii="Times New Roman" w:hAnsi="Times New Roman" w:eastAsia="宋体" w:cs="Times New Roman"/>
                <w:sz w:val="24"/>
                <w:szCs w:val="22"/>
              </w:rPr>
              <w:t xml:space="preserve">Theory and Material Study of Topological State of Matter and Phase Transformation (discipline code: A04)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adjustRightInd w:val="0"/>
              <w:snapToGrid w:val="0"/>
              <w:spacing w:before="120" w:beforeLines="50" w:after="120" w:afterLines="50"/>
              <w:rPr>
                <w:rFonts w:ascii="Times New Roman" w:hAnsi="Times New Roman" w:eastAsia="宋体" w:cs="Times New Roman"/>
                <w:b/>
                <w:sz w:val="24"/>
                <w:szCs w:val="22"/>
              </w:rPr>
            </w:pPr>
            <w:r>
              <w:rPr>
                <w:rFonts w:ascii="Times New Roman" w:hAnsi="Times New Roman" w:eastAsia="宋体" w:cs="Times New Roman"/>
                <w:b/>
                <w:sz w:val="24"/>
                <w:szCs w:val="22"/>
              </w:rPr>
              <w:t>(II)</w:t>
            </w:r>
            <w:r>
              <w:rPr>
                <w:rFonts w:hint="eastAsia" w:ascii="Times New Roman" w:hAnsi="Times New Roman" w:eastAsia="宋体" w:cs="Times New Roman"/>
                <w:b/>
                <w:sz w:val="24"/>
                <w:szCs w:val="22"/>
              </w:rPr>
              <w:t xml:space="preserve"> </w:t>
            </w:r>
            <w:r>
              <w:rPr>
                <w:rFonts w:ascii="Times New Roman" w:hAnsi="Times New Roman" w:eastAsia="宋体" w:cs="Times New Roman"/>
                <w:b/>
                <w:sz w:val="24"/>
                <w:szCs w:val="22"/>
              </w:rPr>
              <w:t>Field of chemical science</w:t>
            </w:r>
            <w:r>
              <w:rPr>
                <w:rFonts w:ascii="Times New Roman" w:hAnsi="Times New Roman" w:eastAsia="宋体" w:cs="Times New Roman"/>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DG0201 </w:t>
            </w:r>
          </w:p>
        </w:tc>
        <w:tc>
          <w:tcPr>
            <w:tcW w:w="5754" w:type="dxa"/>
          </w:tcPr>
          <w:p>
            <w:pPr>
              <w:numPr>
                <w:ilvl w:val="0"/>
                <w:numId w:val="1"/>
              </w:num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Basic research on the preparation of hollow fiber membranes based on bionic technology and its application (discipline code: B06)</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adjustRightInd w:val="0"/>
              <w:snapToGrid w:val="0"/>
              <w:spacing w:before="120" w:beforeLines="50" w:after="120" w:afterLines="50"/>
              <w:rPr>
                <w:rFonts w:ascii="Times New Roman" w:hAnsi="Times New Roman" w:eastAsia="宋体" w:cs="Times New Roman"/>
                <w:b/>
                <w:sz w:val="24"/>
                <w:szCs w:val="22"/>
              </w:rPr>
            </w:pPr>
            <w:r>
              <w:rPr>
                <w:rFonts w:ascii="Times New Roman" w:hAnsi="Times New Roman" w:eastAsia="宋体" w:cs="Times New Roman"/>
                <w:b/>
                <w:sz w:val="24"/>
                <w:szCs w:val="22"/>
              </w:rPr>
              <w:t>(III)</w:t>
            </w:r>
            <w:r>
              <w:rPr>
                <w:rFonts w:ascii="Times New Roman" w:hAnsi="Times New Roman" w:eastAsia="宋体" w:cs="Times New Roman"/>
                <w:b/>
                <w:sz w:val="24"/>
                <w:szCs w:val="22"/>
              </w:rPr>
              <w:tab/>
            </w:r>
            <w:r>
              <w:rPr>
                <w:rFonts w:ascii="Times New Roman" w:hAnsi="Times New Roman" w:eastAsia="宋体" w:cs="Times New Roman"/>
                <w:b/>
                <w:sz w:val="24"/>
                <w:szCs w:val="22"/>
              </w:rPr>
              <w:t>Field of life science</w:t>
            </w:r>
            <w:r>
              <w:rPr>
                <w:rFonts w:ascii="Times New Roman" w:hAnsi="Times New Roman" w:eastAsia="宋体" w:cs="Times New Roman"/>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DG0301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1. Mechanisms related to arterial vascular bioadhesion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C10)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adjustRightInd w:val="0"/>
              <w:snapToGrid w:val="0"/>
              <w:spacing w:before="120" w:beforeLines="50" w:after="120" w:afterLines="50"/>
              <w:rPr>
                <w:rFonts w:hint="default" w:ascii="Times New Roman" w:hAnsi="Times New Roman" w:eastAsia="宋体" w:cs="Times New Roman"/>
                <w:b/>
                <w:sz w:val="24"/>
                <w:szCs w:val="22"/>
                <w:lang w:val="en-US" w:eastAsia="zh-CN"/>
              </w:rPr>
            </w:pPr>
            <w:r>
              <w:rPr>
                <w:rFonts w:ascii="Times New Roman" w:hAnsi="Times New Roman" w:eastAsia="宋体" w:cs="Times New Roman"/>
                <w:b/>
                <w:sz w:val="24"/>
                <w:szCs w:val="22"/>
              </w:rPr>
              <w:t>(IV)</w:t>
            </w:r>
            <w:r>
              <w:rPr>
                <w:rFonts w:ascii="Times New Roman" w:hAnsi="Times New Roman" w:eastAsia="宋体" w:cs="Times New Roman"/>
                <w:b/>
                <w:sz w:val="24"/>
                <w:szCs w:val="22"/>
              </w:rPr>
              <w:tab/>
            </w:r>
            <w:r>
              <w:rPr>
                <w:rFonts w:ascii="Times New Roman" w:hAnsi="Times New Roman" w:eastAsia="宋体" w:cs="Times New Roman"/>
                <w:b/>
                <w:sz w:val="24"/>
                <w:szCs w:val="22"/>
              </w:rPr>
              <w:t xml:space="preserve">Field of </w:t>
            </w:r>
            <w:r>
              <w:rPr>
                <w:rFonts w:hint="eastAsia" w:ascii="Times New Roman" w:hAnsi="Times New Roman" w:eastAsia="宋体" w:cs="Times New Roman"/>
                <w:b/>
                <w:sz w:val="24"/>
                <w:szCs w:val="22"/>
                <w:lang w:val="en-US" w:eastAsia="zh-CN"/>
              </w:rPr>
              <w:t>material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DG0401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1.The development of lightweight and high-performance amorphous composites and their application exploration (discipline code: E01)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DG0402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2.Key Technology Research on Advanced Manufacturing of Amorphous Alloys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E01)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DG0403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3. Research on new technology for passive radiation cooling of graphene/hexagonal boron nitride infrared coatings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E02)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DG0404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4. Applied Research on Neutron Diffraction and Transmission Techniques in the Solidification Process of Metallic Materials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E01)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adjustRightInd w:val="0"/>
              <w:snapToGrid w:val="0"/>
              <w:spacing w:before="120" w:beforeLines="50" w:after="120" w:afterLines="50"/>
              <w:rPr>
                <w:rFonts w:hint="default" w:ascii="Times New Roman" w:hAnsi="Times New Roman" w:eastAsia="宋体" w:cs="Times New Roman"/>
                <w:sz w:val="24"/>
                <w:szCs w:val="22"/>
                <w:lang w:val="en-US" w:eastAsia="zh-CN"/>
              </w:rPr>
            </w:pPr>
            <w:r>
              <w:rPr>
                <w:rFonts w:ascii="Times New Roman" w:hAnsi="Times New Roman" w:eastAsia="宋体" w:cs="Times New Roman"/>
                <w:b/>
                <w:sz w:val="24"/>
                <w:szCs w:val="22"/>
              </w:rPr>
              <w:t>(V)</w:t>
            </w:r>
            <w:r>
              <w:rPr>
                <w:rFonts w:ascii="Times New Roman" w:hAnsi="Times New Roman" w:eastAsia="宋体" w:cs="Times New Roman"/>
                <w:b/>
                <w:sz w:val="24"/>
                <w:szCs w:val="22"/>
              </w:rPr>
              <w:tab/>
            </w:r>
            <w:r>
              <w:rPr>
                <w:rFonts w:ascii="Times New Roman" w:hAnsi="Times New Roman" w:eastAsia="宋体" w:cs="Times New Roman"/>
                <w:b/>
                <w:sz w:val="24"/>
                <w:szCs w:val="22"/>
              </w:rPr>
              <w:t xml:space="preserve">Field of </w:t>
            </w:r>
            <w:r>
              <w:rPr>
                <w:rFonts w:hint="eastAsia" w:ascii="Times New Roman" w:hAnsi="Times New Roman" w:eastAsia="宋体" w:cs="Times New Roman"/>
                <w:b/>
                <w:sz w:val="24"/>
                <w:szCs w:val="22"/>
                <w:lang w:val="en-US" w:eastAsia="zh-CN"/>
              </w:rPr>
              <w:t>engineering sciences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DG0501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1. Precision 3D measurement system based on high repetition frequency dual femtosecond laser frequency comb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E05)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DG0502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2. Big Data and Artificial Intelligence Driven Key Technology of Additive Manufacturing Intelligent System (Academic)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E05) </w:t>
            </w:r>
            <w:r>
              <w:rPr>
                <w:rFonts w:ascii="Times New Roman" w:hAnsi="Times New Roman" w:eastAsia="宋体" w:cs="Times New Roman"/>
                <w:sz w:val="24"/>
                <w:szCs w:val="22"/>
              </w:rPr>
              <w:t xml:space="preserve">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DG0503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3.Research on the automatic aseptic production process of gas-liquid exchange hollow fiber membrane preparation and modules based on bionic technology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E05)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adjustRightInd w:val="0"/>
              <w:snapToGrid w:val="0"/>
              <w:spacing w:before="120" w:beforeLines="50" w:after="120" w:afterLines="50"/>
              <w:rPr>
                <w:rFonts w:ascii="Times New Roman" w:hAnsi="Times New Roman" w:eastAsia="宋体" w:cs="Times New Roman"/>
                <w:sz w:val="24"/>
                <w:szCs w:val="22"/>
              </w:rPr>
            </w:pPr>
            <w:r>
              <w:rPr>
                <w:rFonts w:ascii="Times New Roman" w:hAnsi="Times New Roman" w:eastAsia="宋体" w:cs="Times New Roman"/>
                <w:b/>
                <w:sz w:val="24"/>
                <w:szCs w:val="22"/>
              </w:rPr>
              <w:t>(</w:t>
            </w:r>
            <w:r>
              <w:rPr>
                <w:rFonts w:ascii="Times New Roman" w:hAnsi="Times New Roman" w:eastAsia="宋体" w:cs="Times New Roman"/>
                <w:b/>
                <w:sz w:val="24"/>
                <w:szCs w:val="22"/>
              </w:rPr>
              <w:fldChar w:fldCharType="begin"/>
            </w:r>
            <w:r>
              <w:rPr>
                <w:rFonts w:ascii="Times New Roman" w:hAnsi="Times New Roman" w:eastAsia="宋体" w:cs="Times New Roman"/>
                <w:b/>
                <w:sz w:val="24"/>
                <w:szCs w:val="22"/>
              </w:rPr>
              <w:instrText xml:space="preserve"> = 6 \* ROMAN \* MERGEFORMAT </w:instrText>
            </w:r>
            <w:r>
              <w:rPr>
                <w:rFonts w:ascii="Times New Roman" w:hAnsi="Times New Roman" w:eastAsia="宋体" w:cs="Times New Roman"/>
                <w:b/>
                <w:sz w:val="24"/>
                <w:szCs w:val="22"/>
              </w:rPr>
              <w:fldChar w:fldCharType="separate"/>
            </w:r>
            <w:r>
              <w:rPr>
                <w:rFonts w:ascii="Times New Roman" w:hAnsi="Times New Roman" w:eastAsia="宋体" w:cs="Times New Roman"/>
                <w:b/>
                <w:sz w:val="24"/>
                <w:szCs w:val="22"/>
              </w:rPr>
              <w:t>VI</w:t>
            </w:r>
            <w:r>
              <w:rPr>
                <w:rFonts w:ascii="Times New Roman" w:hAnsi="Times New Roman" w:eastAsia="宋体" w:cs="Times New Roman"/>
                <w:b/>
                <w:sz w:val="24"/>
                <w:szCs w:val="22"/>
              </w:rPr>
              <w:fldChar w:fldCharType="end"/>
            </w:r>
            <w:r>
              <w:rPr>
                <w:rFonts w:ascii="Times New Roman" w:hAnsi="Times New Roman" w:eastAsia="宋体" w:cs="Times New Roman"/>
                <w:b/>
                <w:sz w:val="24"/>
                <w:szCs w:val="22"/>
              </w:rPr>
              <w:t xml:space="preserve">)Field of </w:t>
            </w:r>
            <w:r>
              <w:rPr>
                <w:rFonts w:hint="eastAsia" w:ascii="Times New Roman" w:hAnsi="Times New Roman" w:eastAsia="宋体" w:cs="Times New Roman"/>
                <w:b/>
                <w:sz w:val="24"/>
                <w:szCs w:val="22"/>
                <w:lang w:val="en-US" w:eastAsia="zh-CN"/>
              </w:rPr>
              <w:t>engineering sciences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DG0601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1.Research on robot task learning methods for human-machine collaboration (discipline code: F03)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DG0602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2. GaN-based Micro-LED Preparation Key Technology Research and Development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F05)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DG0603</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3. Research on traffic control technology for </w:t>
            </w:r>
            <w:r>
              <w:rPr>
                <w:rFonts w:hint="eastAsia" w:ascii="Times New Roman" w:hAnsi="Times New Roman" w:eastAsia="宋体" w:cs="Times New Roman"/>
                <w:sz w:val="24"/>
                <w:szCs w:val="22"/>
                <w:lang w:val="en-US" w:eastAsia="zh-CN"/>
              </w:rPr>
              <w:t>intelligent</w:t>
            </w:r>
            <w:bookmarkStart w:id="0" w:name="_GoBack"/>
            <w:bookmarkEnd w:id="0"/>
            <w:r>
              <w:rPr>
                <w:rFonts w:hint="eastAsia" w:ascii="Times New Roman" w:hAnsi="Times New Roman" w:eastAsia="宋体" w:cs="Times New Roman"/>
                <w:sz w:val="24"/>
                <w:szCs w:val="22"/>
              </w:rPr>
              <w:t xml:space="preserve"> cities based on information physical systems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F03)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adjustRightInd w:val="0"/>
              <w:snapToGrid w:val="0"/>
              <w:spacing w:before="120" w:beforeLines="50" w:after="120" w:afterLines="5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DG0604 </w:t>
            </w:r>
          </w:p>
        </w:tc>
        <w:tc>
          <w:tcPr>
            <w:tcW w:w="5754" w:type="dxa"/>
          </w:tcPr>
          <w:p>
            <w:pPr>
              <w:adjustRightInd w:val="0"/>
              <w:snapToGrid w:val="0"/>
              <w:spacing w:before="120" w:beforeLines="50" w:after="120" w:afterLines="50"/>
              <w:rPr>
                <w:rFonts w:ascii="Times New Roman" w:hAnsi="Times New Roman" w:eastAsia="宋体" w:cs="Times New Roman"/>
                <w:sz w:val="24"/>
                <w:szCs w:val="22"/>
              </w:rPr>
            </w:pPr>
            <w:r>
              <w:rPr>
                <w:rFonts w:hint="eastAsia" w:ascii="Times New Roman" w:hAnsi="Times New Roman" w:eastAsia="宋体" w:cs="Times New Roman"/>
                <w:sz w:val="24"/>
                <w:szCs w:val="22"/>
              </w:rPr>
              <w:t>4. Research on the theory and process of laser high-quality stripping of semiconductor ingots (</w:t>
            </w:r>
            <w:r>
              <w:rPr>
                <w:rFonts w:hint="eastAsia" w:ascii="Times New Roman" w:hAnsi="Times New Roman" w:eastAsia="宋体" w:cs="Times New Roman"/>
                <w:sz w:val="24"/>
                <w:szCs w:val="22"/>
                <w:lang w:eastAsia="zh-CN"/>
              </w:rPr>
              <w:t>discipline</w:t>
            </w:r>
            <w:r>
              <w:rPr>
                <w:rFonts w:hint="eastAsia" w:ascii="Times New Roman" w:hAnsi="Times New Roman" w:eastAsia="宋体" w:cs="Times New Roman"/>
                <w:sz w:val="24"/>
                <w:szCs w:val="22"/>
              </w:rPr>
              <w:t xml:space="preserve"> code: F04) </w:t>
            </w:r>
          </w:p>
        </w:tc>
        <w:tc>
          <w:tcPr>
            <w:tcW w:w="1243" w:type="dxa"/>
          </w:tcPr>
          <w:p>
            <w:pPr>
              <w:adjustRightInd w:val="0"/>
              <w:snapToGrid w:val="0"/>
              <w:spacing w:before="120" w:beforeLines="50" w:after="120" w:afterLines="50"/>
              <w:rPr>
                <w:rFonts w:ascii="Times New Roman" w:hAnsi="Times New Roman" w:eastAsia="宋体" w:cs="Times New Roman"/>
                <w:sz w:val="24"/>
                <w:szCs w:val="22"/>
              </w:rPr>
            </w:pPr>
          </w:p>
        </w:tc>
      </w:tr>
    </w:tbl>
    <w:p>
      <w:pPr>
        <w:rPr>
          <w:rFonts w:hint="default" w:eastAsiaTheme="minor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8DACC"/>
    <w:multiLevelType w:val="singleLevel"/>
    <w:tmpl w:val="BD48DAC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53A39"/>
    <w:rsid w:val="44753A39"/>
    <w:rsid w:val="5314322E"/>
    <w:rsid w:val="6DFB4CAE"/>
    <w:rsid w:val="72FA4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5.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EYQKJF6MWWUA-347277308-63481</_dlc_DocId>
    <_dlc_DocIdUrl xmlns="a5252c03-436d-443d-9623-35b6b1750146">
      <Url>https://technionchina.sharepoint.com/sites/Files/_layouts/15/DocIdRedir.aspx?ID=EYQKJF6MWWUA-347277308-63481</Url>
      <Description>EYQKJF6MWWUA-347277308-63481</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A4750-6E74-4983-A8B2-1074FF1FDB61}"/>
</file>

<file path=customXml/itemProps3.xml><?xml version="1.0" encoding="utf-8"?>
<ds:datastoreItem xmlns:ds="http://schemas.openxmlformats.org/officeDocument/2006/customXml" ds:itemID="{572EF4EC-EF86-468B-9D07-69B31A4FE392}"/>
</file>

<file path=customXml/itemProps4.xml><?xml version="1.0" encoding="utf-8"?>
<ds:datastoreItem xmlns:ds="http://schemas.openxmlformats.org/officeDocument/2006/customXml" ds:itemID="{378FB13B-2DFE-42B4-BECD-A2E4D43307C9}"/>
</file>

<file path=customXml/itemProps5.xml><?xml version="1.0" encoding="utf-8"?>
<ds:datastoreItem xmlns:ds="http://schemas.openxmlformats.org/officeDocument/2006/customXml" ds:itemID="{CE94F67C-BEDC-4C7B-9316-01A93E68E2C6}"/>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2020-08-18T08:01:00Z</dcterms:created>
  <dcterms:modified xsi:type="dcterms:W3CDTF">2020-08-18T08:29:02Z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605194fa-d522-44c2-959b-08c0c61166a4</vt:lpwstr>
  </property>
</Properties>
</file>